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072" w:rsidRDefault="008C294F" w:rsidP="008735E4">
      <w:pPr>
        <w:pStyle w:val="Title"/>
      </w:pPr>
      <w:r>
        <w:t>S</w:t>
      </w:r>
      <w:r w:rsidR="00FE7B3E">
        <w:t xml:space="preserve">trategic National Risk Assessment </w:t>
      </w:r>
      <w:r w:rsidR="003D7A61">
        <w:t xml:space="preserve">2015 </w:t>
      </w:r>
    </w:p>
    <w:p w:rsidR="008735E4" w:rsidRPr="008735E4" w:rsidRDefault="00B44FFF" w:rsidP="008735E4">
      <w:pPr>
        <w:pStyle w:val="Title"/>
      </w:pPr>
      <w:r>
        <w:t xml:space="preserve">Qualitative Data Instructions </w:t>
      </w:r>
    </w:p>
    <w:p w:rsidR="00CB78F4" w:rsidRPr="00514072" w:rsidRDefault="00CB78F4" w:rsidP="008735E4">
      <w:pPr>
        <w:pStyle w:val="Subtitle"/>
        <w:rPr>
          <w:sz w:val="10"/>
        </w:rPr>
      </w:pPr>
    </w:p>
    <w:p w:rsidR="00F37155" w:rsidRPr="00A3217D" w:rsidRDefault="00B44FFF" w:rsidP="00A3217D">
      <w:pPr>
        <w:keepNext/>
        <w:keepLines/>
        <w:spacing w:before="180" w:after="0"/>
        <w:ind w:left="432" w:hanging="432"/>
        <w:outlineLvl w:val="1"/>
        <w:rPr>
          <w:rFonts w:asciiTheme="majorHAnsi" w:eastAsiaTheme="majorEastAsia" w:hAnsiTheme="majorHAnsi" w:cstheme="majorBidi"/>
          <w:b/>
          <w:bCs/>
          <w:i/>
          <w:color w:val="002F80" w:themeColor="text2"/>
          <w:sz w:val="28"/>
          <w:szCs w:val="26"/>
        </w:rPr>
      </w:pPr>
      <w:bookmarkStart w:id="0" w:name="_Toc306703759"/>
      <w:r>
        <w:rPr>
          <w:rFonts w:asciiTheme="majorHAnsi" w:eastAsiaTheme="majorEastAsia" w:hAnsiTheme="majorHAnsi" w:cstheme="majorBidi"/>
          <w:b/>
          <w:bCs/>
          <w:color w:val="002F80" w:themeColor="text2"/>
          <w:sz w:val="28"/>
          <w:szCs w:val="26"/>
        </w:rPr>
        <w:t xml:space="preserve">Introduction </w:t>
      </w:r>
    </w:p>
    <w:p w:rsidR="00B44FFF" w:rsidRDefault="00B44FFF" w:rsidP="00514072">
      <w:r>
        <w:t>The findings of the 2015 SNRA will be summarized for public dissemination in a product similar to the seven-page overview of the first SNRA published in December 2011</w:t>
      </w:r>
      <w:proofErr w:type="gramStart"/>
      <w:r>
        <w:t xml:space="preserve">. </w:t>
      </w:r>
      <w:proofErr w:type="gramEnd"/>
      <w:r>
        <w:t xml:space="preserve">Qualitative data submissions </w:t>
      </w:r>
      <w:proofErr w:type="gramStart"/>
      <w:r>
        <w:t>will primarily</w:t>
      </w:r>
      <w:r w:rsidR="0087641C">
        <w:t xml:space="preserve"> </w:t>
      </w:r>
      <w:bookmarkStart w:id="1" w:name="_GoBack"/>
      <w:bookmarkEnd w:id="1"/>
      <w:r>
        <w:t>be used</w:t>
      </w:r>
      <w:proofErr w:type="gramEnd"/>
      <w:r>
        <w:t xml:space="preserve"> to support new </w:t>
      </w:r>
      <w:r w:rsidR="000951EA">
        <w:t xml:space="preserve">content </w:t>
      </w:r>
      <w:r>
        <w:t>in the unclassified 2015 SNRA summary document</w:t>
      </w:r>
      <w:r w:rsidR="00541486">
        <w:t xml:space="preserve"> including </w:t>
      </w:r>
      <w:r w:rsidR="000951EA" w:rsidRPr="00541486">
        <w:t xml:space="preserve">evolving threats and </w:t>
      </w:r>
      <w:r w:rsidRPr="00541486">
        <w:t>climate change</w:t>
      </w:r>
      <w:r w:rsidR="000951EA">
        <w:t xml:space="preserve">. </w:t>
      </w:r>
      <w:r>
        <w:t xml:space="preserve">If you </w:t>
      </w:r>
      <w:r w:rsidR="00D2015F">
        <w:t xml:space="preserve">have </w:t>
      </w:r>
      <w:r>
        <w:t>qualitative risk information that would be beneficial to this effort, please read the requirements and instructions below. Please keep in mind that our summary sections will be no more than ½ - 1½ pages long.</w:t>
      </w:r>
    </w:p>
    <w:p w:rsidR="00B44FFF" w:rsidRDefault="00B44FFF" w:rsidP="00A3217D">
      <w:pPr>
        <w:pStyle w:val="Number1"/>
        <w:numPr>
          <w:ilvl w:val="0"/>
          <w:numId w:val="0"/>
        </w:numPr>
        <w:spacing w:before="200" w:after="200"/>
      </w:pPr>
      <w:r>
        <w:t>Please note</w:t>
      </w:r>
      <w:proofErr w:type="gramStart"/>
      <w:r>
        <w:t>,</w:t>
      </w:r>
      <w:proofErr w:type="gramEnd"/>
      <w:r>
        <w:t xml:space="preserve"> </w:t>
      </w:r>
      <w:r w:rsidR="00541486">
        <w:t>i</w:t>
      </w:r>
      <w:r w:rsidR="00541486" w:rsidRPr="00131AD5">
        <w:t>f y</w:t>
      </w:r>
      <w:r w:rsidR="00541486">
        <w:t xml:space="preserve">ou have previously submitted this </w:t>
      </w:r>
      <w:r w:rsidR="00541486" w:rsidRPr="00131AD5">
        <w:t>data to FEMA for a</w:t>
      </w:r>
      <w:r w:rsidR="00541486">
        <w:t>nother</w:t>
      </w:r>
      <w:r w:rsidR="00541486" w:rsidRPr="00131AD5">
        <w:t xml:space="preserve"> data call (e.g. National Preparedness Repo</w:t>
      </w:r>
      <w:r w:rsidR="00541486">
        <w:t>rt</w:t>
      </w:r>
      <w:r w:rsidR="00541486" w:rsidRPr="00131AD5">
        <w:t>)</w:t>
      </w:r>
      <w:r w:rsidR="0087641C">
        <w:t>,</w:t>
      </w:r>
      <w:r w:rsidR="00541486">
        <w:t xml:space="preserve"> then</w:t>
      </w:r>
      <w:r w:rsidR="00541486" w:rsidRPr="00131AD5">
        <w:t xml:space="preserve"> </w:t>
      </w:r>
      <w:r w:rsidR="00541486" w:rsidRPr="00131AD5">
        <w:rPr>
          <w:b/>
        </w:rPr>
        <w:t>there is no need to submit it again</w:t>
      </w:r>
      <w:r w:rsidR="00541486" w:rsidRPr="00131AD5">
        <w:t xml:space="preserve">. However, please </w:t>
      </w:r>
      <w:r w:rsidR="00541486">
        <w:t>provide us with</w:t>
      </w:r>
      <w:r w:rsidR="00541486" w:rsidRPr="00131AD5">
        <w:t xml:space="preserve"> the POC</w:t>
      </w:r>
      <w:r w:rsidR="00541486">
        <w:t xml:space="preserve"> and specific </w:t>
      </w:r>
      <w:r w:rsidR="00541486" w:rsidRPr="00131AD5">
        <w:t>data call ch</w:t>
      </w:r>
      <w:r w:rsidR="00541486">
        <w:t>annel to which you submitted and we will coordinate directly through appropriate</w:t>
      </w:r>
      <w:r>
        <w:t>.</w:t>
      </w:r>
    </w:p>
    <w:p w:rsidR="00541486" w:rsidRPr="000B7663" w:rsidRDefault="00541486" w:rsidP="00A3217D">
      <w:pPr>
        <w:pStyle w:val="Number1"/>
        <w:numPr>
          <w:ilvl w:val="0"/>
          <w:numId w:val="0"/>
        </w:numPr>
        <w:spacing w:before="200" w:after="200"/>
      </w:pPr>
      <w:r>
        <w:t xml:space="preserve">Submit all input to </w:t>
      </w:r>
      <w:hyperlink r:id="rId9" w:history="1">
        <w:r>
          <w:rPr>
            <w:rStyle w:val="Hyperlink"/>
            <w:rFonts w:ascii="Times New Roman" w:hAnsi="Times New Roman"/>
            <w:szCs w:val="24"/>
          </w:rPr>
          <w:t>PPD8-NationalPreparedness@fema.dhs.gov</w:t>
        </w:r>
      </w:hyperlink>
      <w:r>
        <w:rPr>
          <w:rFonts w:ascii="Times New Roman" w:hAnsi="Times New Roman"/>
          <w:szCs w:val="24"/>
        </w:rPr>
        <w:t xml:space="preserve"> </w:t>
      </w:r>
      <w:r>
        <w:t xml:space="preserve">no later than </w:t>
      </w:r>
      <w:r w:rsidR="0087641C">
        <w:rPr>
          <w:b/>
        </w:rPr>
        <w:t xml:space="preserve">March </w:t>
      </w:r>
      <w:proofErr w:type="gramStart"/>
      <w:r w:rsidR="0087641C">
        <w:rPr>
          <w:b/>
        </w:rPr>
        <w:t>5</w:t>
      </w:r>
      <w:r w:rsidRPr="00F65DCA">
        <w:rPr>
          <w:b/>
          <w:vertAlign w:val="superscript"/>
        </w:rPr>
        <w:t>th</w:t>
      </w:r>
      <w:proofErr w:type="gramEnd"/>
      <w:r w:rsidRPr="00F65DCA">
        <w:rPr>
          <w:b/>
        </w:rPr>
        <w:t>, 2015</w:t>
      </w:r>
      <w:r>
        <w:rPr>
          <w:b/>
        </w:rPr>
        <w:t>.</w:t>
      </w:r>
      <w:r>
        <w:rPr>
          <w:rFonts w:ascii="Times New Roman" w:hAnsi="Times New Roman"/>
          <w:szCs w:val="24"/>
        </w:rPr>
        <w:t xml:space="preserve"> </w:t>
      </w:r>
    </w:p>
    <w:p w:rsidR="008C294F" w:rsidRDefault="00E562B0" w:rsidP="007134F3">
      <w:pPr>
        <w:pStyle w:val="Appendix2"/>
        <w:rPr>
          <w:b/>
          <w:i w:val="0"/>
        </w:rPr>
      </w:pPr>
      <w:r w:rsidRPr="007134F3">
        <w:rPr>
          <w:b/>
          <w:i w:val="0"/>
        </w:rPr>
        <w:t>Qualitative Data Requirements</w:t>
      </w:r>
    </w:p>
    <w:p w:rsidR="00B44FFF" w:rsidRPr="00A3217D" w:rsidRDefault="00B44FFF" w:rsidP="00A3217D">
      <w:r>
        <w:t>The qualitative dat</w:t>
      </w:r>
      <w:r w:rsidR="00D2015F">
        <w:t>a</w:t>
      </w:r>
      <w:r>
        <w:t xml:space="preserve"> requirements below explain what is needed in order for qualitative data submissions to be usable in the updated SNRA summary document.  </w:t>
      </w:r>
    </w:p>
    <w:p w:rsidR="00514072" w:rsidRPr="00EF47BD" w:rsidRDefault="00514072" w:rsidP="00514072">
      <w:pPr>
        <w:pStyle w:val="Bullet2"/>
        <w:numPr>
          <w:ilvl w:val="0"/>
          <w:numId w:val="0"/>
        </w:numPr>
        <w:spacing w:beforeLines="60" w:before="144" w:afterLines="60" w:after="144"/>
        <w:ind w:left="270"/>
      </w:pPr>
      <w:r w:rsidRPr="00EF47BD">
        <w:rPr>
          <w:b/>
        </w:rPr>
        <w:t>Synopsis</w:t>
      </w:r>
      <w:r w:rsidRPr="00EF47BD">
        <w:t>: Provide a synopsis of all your sources and the assessment based on your literature review in 150-words or less. Ensure that you cite sources of information using footnotes.</w:t>
      </w:r>
    </w:p>
    <w:p w:rsidR="00514072" w:rsidRPr="00EF47BD" w:rsidRDefault="00514072" w:rsidP="00514072">
      <w:pPr>
        <w:pStyle w:val="Bullet2"/>
        <w:numPr>
          <w:ilvl w:val="0"/>
          <w:numId w:val="0"/>
        </w:numPr>
        <w:spacing w:beforeLines="60" w:before="144" w:afterLines="60" w:after="144"/>
        <w:ind w:left="270"/>
        <w:rPr>
          <w:b/>
        </w:rPr>
      </w:pPr>
      <w:r w:rsidRPr="00EF47BD">
        <w:rPr>
          <w:b/>
        </w:rPr>
        <w:t>Literature Review</w:t>
      </w:r>
      <w:r>
        <w:t>:</w:t>
      </w:r>
      <w:r>
        <w:rPr>
          <w:b/>
        </w:rPr>
        <w:t xml:space="preserve"> </w:t>
      </w:r>
      <w:r w:rsidRPr="00EF47BD">
        <w:rPr>
          <w:rFonts w:eastAsiaTheme="minorEastAsia"/>
          <w:color w:val="000000"/>
        </w:rPr>
        <w:t xml:space="preserve">The </w:t>
      </w:r>
      <w:r>
        <w:rPr>
          <w:rFonts w:eastAsiaTheme="minorEastAsia"/>
          <w:color w:val="000000"/>
        </w:rPr>
        <w:t>Literature Review s</w:t>
      </w:r>
      <w:r w:rsidRPr="000B4767">
        <w:rPr>
          <w:rFonts w:eastAsiaTheme="minorEastAsia"/>
          <w:color w:val="000000"/>
        </w:rPr>
        <w:t xml:space="preserve">hould follow the </w:t>
      </w:r>
      <w:r>
        <w:rPr>
          <w:rFonts w:eastAsiaTheme="minorEastAsia"/>
          <w:color w:val="000000"/>
        </w:rPr>
        <w:t>t</w:t>
      </w:r>
      <w:r w:rsidRPr="000B4767">
        <w:rPr>
          <w:rFonts w:eastAsiaTheme="minorEastAsia"/>
          <w:color w:val="000000"/>
        </w:rPr>
        <w:t>emplate</w:t>
      </w:r>
      <w:r>
        <w:rPr>
          <w:rFonts w:eastAsiaTheme="minorEastAsia"/>
          <w:color w:val="000000"/>
        </w:rPr>
        <w:t xml:space="preserve"> provided. Source material </w:t>
      </w:r>
      <w:r w:rsidRPr="007134F3">
        <w:rPr>
          <w:rFonts w:eastAsiaTheme="minorEastAsia"/>
          <w:color w:val="000000"/>
        </w:rPr>
        <w:t>should meet the following criteria</w:t>
      </w:r>
      <w:r>
        <w:rPr>
          <w:rFonts w:eastAsiaTheme="minorEastAsia"/>
          <w:color w:val="000000"/>
        </w:rPr>
        <w:t>:</w:t>
      </w:r>
    </w:p>
    <w:p w:rsidR="00514072" w:rsidRPr="007134F3" w:rsidRDefault="00514072" w:rsidP="00514072">
      <w:pPr>
        <w:pStyle w:val="Bullet2"/>
        <w:numPr>
          <w:ilvl w:val="1"/>
          <w:numId w:val="24"/>
        </w:numPr>
        <w:ind w:left="1080"/>
        <w:rPr>
          <w:rFonts w:eastAsia="Times New Roman"/>
        </w:rPr>
      </w:pPr>
      <w:r>
        <w:rPr>
          <w:rFonts w:eastAsia="Times New Roman"/>
        </w:rPr>
        <w:t xml:space="preserve">Should include </w:t>
      </w:r>
      <w:proofErr w:type="gramStart"/>
      <w:r>
        <w:rPr>
          <w:rFonts w:eastAsia="Times New Roman"/>
        </w:rPr>
        <w:t>5</w:t>
      </w:r>
      <w:proofErr w:type="gramEnd"/>
      <w:r>
        <w:rPr>
          <w:rFonts w:eastAsia="Times New Roman"/>
        </w:rPr>
        <w:t xml:space="preserve"> sources for each major topic area (i.e. fatality estimates from a tornado).</w:t>
      </w:r>
    </w:p>
    <w:p w:rsidR="00514072" w:rsidRPr="00735EAF" w:rsidRDefault="00514072" w:rsidP="00514072">
      <w:pPr>
        <w:pStyle w:val="Bullet2"/>
        <w:numPr>
          <w:ilvl w:val="1"/>
          <w:numId w:val="24"/>
        </w:numPr>
        <w:ind w:left="1080"/>
        <w:rPr>
          <w:rFonts w:eastAsia="Times New Roman"/>
        </w:rPr>
      </w:pPr>
      <w:r w:rsidRPr="00735EAF">
        <w:rPr>
          <w:rFonts w:eastAsiaTheme="minorEastAsia"/>
        </w:rPr>
        <w:t>Peer reviewed academic journals provide the best source for objective information.</w:t>
      </w:r>
    </w:p>
    <w:p w:rsidR="00514072" w:rsidRPr="00E562B0" w:rsidRDefault="00514072" w:rsidP="00514072">
      <w:pPr>
        <w:pStyle w:val="Bullet2"/>
        <w:numPr>
          <w:ilvl w:val="1"/>
          <w:numId w:val="24"/>
        </w:numPr>
        <w:ind w:left="1080"/>
        <w:rPr>
          <w:rFonts w:eastAsia="Times New Roman"/>
        </w:rPr>
      </w:pPr>
      <w:r w:rsidRPr="00E562B0">
        <w:rPr>
          <w:rFonts w:eastAsiaTheme="minorEastAsia"/>
        </w:rPr>
        <w:t>Government documents provide a good source for information.</w:t>
      </w:r>
    </w:p>
    <w:p w:rsidR="00514072" w:rsidRPr="00E562B0" w:rsidRDefault="00514072" w:rsidP="00514072">
      <w:pPr>
        <w:pStyle w:val="Bullet2"/>
        <w:numPr>
          <w:ilvl w:val="1"/>
          <w:numId w:val="24"/>
        </w:numPr>
        <w:ind w:left="1080"/>
        <w:rPr>
          <w:rFonts w:eastAsia="Times New Roman"/>
        </w:rPr>
      </w:pPr>
      <w:r w:rsidRPr="00E562B0">
        <w:rPr>
          <w:rFonts w:eastAsiaTheme="minorEastAsia"/>
        </w:rPr>
        <w:t>Trade journals provide an acceptable source of information, but the information is typically subjective.</w:t>
      </w:r>
    </w:p>
    <w:p w:rsidR="00514072" w:rsidRPr="005F171E" w:rsidRDefault="00514072" w:rsidP="00514072">
      <w:pPr>
        <w:pStyle w:val="Bullet2"/>
        <w:numPr>
          <w:ilvl w:val="1"/>
          <w:numId w:val="24"/>
        </w:numPr>
        <w:ind w:left="1080"/>
        <w:rPr>
          <w:rFonts w:eastAsia="Times New Roman"/>
        </w:rPr>
      </w:pPr>
      <w:r w:rsidRPr="00E562B0">
        <w:rPr>
          <w:rFonts w:eastAsiaTheme="minorEastAsia"/>
        </w:rPr>
        <w:t>Source should be less than 5-years old. Sources over 5-years old could provide information that is no longer valid or relevant.</w:t>
      </w:r>
    </w:p>
    <w:p w:rsidR="00514072" w:rsidRPr="00BE20B3" w:rsidRDefault="00514072" w:rsidP="00514072">
      <w:pPr>
        <w:pStyle w:val="Bullet1"/>
        <w:numPr>
          <w:ilvl w:val="0"/>
          <w:numId w:val="0"/>
        </w:numPr>
        <w:ind w:left="270"/>
      </w:pPr>
      <w:proofErr w:type="gramStart"/>
      <w:r w:rsidRPr="00E703D7">
        <w:rPr>
          <w:rFonts w:eastAsiaTheme="minorEastAsia"/>
          <w:b/>
          <w:color w:val="000000"/>
        </w:rPr>
        <w:t>Source material</w:t>
      </w:r>
      <w:r w:rsidRPr="00E703D7">
        <w:rPr>
          <w:rFonts w:eastAsiaTheme="minorEastAsia"/>
          <w:color w:val="000000"/>
        </w:rPr>
        <w:t>:</w:t>
      </w:r>
      <w:r>
        <w:rPr>
          <w:rFonts w:eastAsiaTheme="minorEastAsia"/>
          <w:color w:val="000000"/>
        </w:rPr>
        <w:t xml:space="preserve"> Submitted as </w:t>
      </w:r>
      <w:r w:rsidRPr="007134F3">
        <w:rPr>
          <w:rFonts w:eastAsiaTheme="minorEastAsia"/>
        </w:rPr>
        <w:t>either physical or electronic copies.</w:t>
      </w:r>
      <w:proofErr w:type="gramEnd"/>
    </w:p>
    <w:p w:rsidR="00CB30AA" w:rsidRDefault="00CB30AA">
      <w:pPr>
        <w:spacing w:after="200"/>
      </w:pPr>
      <w:r>
        <w:br w:type="page"/>
      </w:r>
    </w:p>
    <w:p w:rsidR="00CB30AA" w:rsidRDefault="00CB30AA" w:rsidP="00A3217D">
      <w:pPr>
        <w:pStyle w:val="Title"/>
      </w:pPr>
      <w:r>
        <w:lastRenderedPageBreak/>
        <w:t>Literature Review Template and Example</w:t>
      </w:r>
    </w:p>
    <w:p w:rsidR="00CB30AA" w:rsidRDefault="00CB30AA" w:rsidP="007134F3">
      <w:pPr>
        <w:pStyle w:val="Heading1"/>
      </w:pPr>
      <w:r>
        <w:t>What is a literature review?</w:t>
      </w:r>
    </w:p>
    <w:p w:rsidR="00CB30AA" w:rsidRDefault="00CB30AA" w:rsidP="00CB30AA">
      <w:r>
        <w:t>A literature review goes beyond the simple summarization of an article, by actually providing a critical review of the article. A hypothesis relating to a specific topic provides the basis for the critical review. For example:</w:t>
      </w:r>
    </w:p>
    <w:p w:rsidR="00CB30AA" w:rsidRDefault="00CB30AA" w:rsidP="00881732">
      <w:r w:rsidRPr="007134F3">
        <w:rPr>
          <w:b/>
        </w:rPr>
        <w:t>Topic:</w:t>
      </w:r>
      <w:r>
        <w:t xml:space="preserve"> Hospital actions involving individuals with functional needs during disaster operations</w:t>
      </w:r>
    </w:p>
    <w:p w:rsidR="00CB30AA" w:rsidRDefault="00CB30AA" w:rsidP="00881732">
      <w:r w:rsidRPr="007134F3">
        <w:rPr>
          <w:b/>
        </w:rPr>
        <w:t>Hypothesis:</w:t>
      </w:r>
      <w:r w:rsidR="00DE5984">
        <w:t xml:space="preserve">  H</w:t>
      </w:r>
      <w:r>
        <w:t>ospitals currently lack an emergency management based framework for caring for individuals with functional needs during emergency operations.</w:t>
      </w:r>
    </w:p>
    <w:p w:rsidR="00CB30AA" w:rsidRDefault="00CB30AA" w:rsidP="00CB30AA">
      <w:r>
        <w:t>The topic and hypothesis provide narrow guidelines for literature collection</w:t>
      </w:r>
      <w:r w:rsidR="00D2015F">
        <w:t>,</w:t>
      </w:r>
      <w:r>
        <w:t xml:space="preserve"> helping to ensure the review of relevant literature. Additionally, since the literature review provides a focused objective</w:t>
      </w:r>
      <w:r w:rsidR="00F77AD2">
        <w:t>,</w:t>
      </w:r>
      <w:r>
        <w:t xml:space="preserve"> the number of pieces of literature is limited to a manageable amount (i.e. 30 instead of 300).</w:t>
      </w:r>
    </w:p>
    <w:p w:rsidR="00CB30AA" w:rsidRDefault="00CB30AA" w:rsidP="00CB30AA">
      <w:r>
        <w:t>Limiting the literature to peer reviewed materials (i.e. scientific journals) is not necessary, but helps minimiz</w:t>
      </w:r>
      <w:r w:rsidR="00D2015F">
        <w:t>e</w:t>
      </w:r>
      <w:r>
        <w:t xml:space="preserve"> bias and speculation. Minimizing bias and speculation assists in developing a factual understanding of the hypothesis. However, if materials other than peer reviewed sources are used such as industry journals, magazine articles, etc. the critique should mention potential biases and/or missing factual materials associated with the literature. </w:t>
      </w:r>
    </w:p>
    <w:p w:rsidR="00CB30AA" w:rsidRDefault="00CB30AA" w:rsidP="00CB30AA">
      <w:r>
        <w:t xml:space="preserve">While it is important to write in “plain language”, literature reviews should be accurate. At times, accuracy in language will require the use of language and terms typically not considered “plain language”. </w:t>
      </w:r>
    </w:p>
    <w:p w:rsidR="00CB30AA" w:rsidRDefault="00CB30AA" w:rsidP="007134F3">
      <w:pPr>
        <w:pStyle w:val="Heading1"/>
      </w:pPr>
      <w:r>
        <w:t>Helpful Questions:</w:t>
      </w:r>
    </w:p>
    <w:p w:rsidR="00CB30AA" w:rsidRDefault="00CB30AA" w:rsidP="007134F3">
      <w:pPr>
        <w:pStyle w:val="Bullet1"/>
      </w:pPr>
      <w:r>
        <w:t xml:space="preserve">What is known about the subject? </w:t>
      </w:r>
    </w:p>
    <w:p w:rsidR="00CB30AA" w:rsidRDefault="00CB30AA" w:rsidP="007134F3">
      <w:pPr>
        <w:pStyle w:val="Bullet1"/>
      </w:pPr>
      <w:r>
        <w:t xml:space="preserve">Are there any gaps in the knowledge of the subject? </w:t>
      </w:r>
    </w:p>
    <w:p w:rsidR="00CB30AA" w:rsidRDefault="00CB30AA" w:rsidP="007134F3">
      <w:pPr>
        <w:pStyle w:val="Bullet1"/>
      </w:pPr>
      <w:r>
        <w:t xml:space="preserve">Have areas of further study been identified by other researchers that you may want to consider? </w:t>
      </w:r>
    </w:p>
    <w:p w:rsidR="00CB30AA" w:rsidRDefault="00CB30AA" w:rsidP="007134F3">
      <w:pPr>
        <w:pStyle w:val="Bullet1"/>
      </w:pPr>
      <w:r>
        <w:t xml:space="preserve">Who are the significant research personalities in this area? </w:t>
      </w:r>
    </w:p>
    <w:p w:rsidR="00CB30AA" w:rsidRDefault="00CB30AA" w:rsidP="007134F3">
      <w:pPr>
        <w:pStyle w:val="Bullet1"/>
      </w:pPr>
      <w:r>
        <w:t xml:space="preserve">Is there consensus about the topic? </w:t>
      </w:r>
    </w:p>
    <w:p w:rsidR="00CB30AA" w:rsidRDefault="00CB30AA" w:rsidP="007134F3">
      <w:pPr>
        <w:pStyle w:val="Bullet1"/>
      </w:pPr>
      <w:r>
        <w:t xml:space="preserve">What aspects have generated significant debate on the topic? </w:t>
      </w:r>
    </w:p>
    <w:p w:rsidR="00CB30AA" w:rsidRDefault="00CB30AA" w:rsidP="007134F3">
      <w:pPr>
        <w:pStyle w:val="Bullet1"/>
      </w:pPr>
      <w:r>
        <w:t xml:space="preserve">What is the current status of research in this area? </w:t>
      </w:r>
    </w:p>
    <w:p w:rsidR="00CB30AA" w:rsidRDefault="00CB30AA" w:rsidP="007134F3">
      <w:pPr>
        <w:pStyle w:val="Bullet1"/>
      </w:pPr>
      <w:r>
        <w:t>What sources of information or data were identified that might be useful to you?</w:t>
      </w:r>
    </w:p>
    <w:p w:rsidR="00CB30AA" w:rsidRDefault="00CB30AA" w:rsidP="007134F3">
      <w:pPr>
        <w:pStyle w:val="Heading1"/>
      </w:pPr>
      <w:r>
        <w:t>What is the benefit of a literature review?</w:t>
      </w:r>
    </w:p>
    <w:p w:rsidR="00CB30AA" w:rsidRDefault="00CB30AA" w:rsidP="00CB30AA">
      <w:r>
        <w:t>Literature review provides an objective method for discovering relevant topics relating to a specific hypothesis. In addition, literature review</w:t>
      </w:r>
      <w:r w:rsidR="00D2015F">
        <w:t xml:space="preserve"> provide</w:t>
      </w:r>
      <w:r>
        <w:t xml:space="preserve">s a method for presenting vast amounts of information in a short, relevant format. By conducting a literature review more people are exposed to relevant materials in a manner that allows them to quickly familiarize themselves </w:t>
      </w:r>
      <w:r>
        <w:lastRenderedPageBreak/>
        <w:t xml:space="preserve">with the material. Literature reviews also provide guidance on which documents are relevant to the stated subject and why.  </w:t>
      </w:r>
    </w:p>
    <w:p w:rsidR="00CB30AA" w:rsidRDefault="00CB30AA" w:rsidP="007134F3">
      <w:pPr>
        <w:pStyle w:val="Heading1"/>
      </w:pPr>
      <w:r>
        <w:t>Short, Descriptive Title</w:t>
      </w:r>
    </w:p>
    <w:p w:rsidR="00CB30AA" w:rsidRDefault="00CB30AA" w:rsidP="007134F3">
      <w:pPr>
        <w:pStyle w:val="Number1"/>
      </w:pPr>
      <w:r>
        <w:t>Introduction</w:t>
      </w:r>
    </w:p>
    <w:p w:rsidR="00CB30AA" w:rsidRDefault="00CB30AA" w:rsidP="007134F3">
      <w:pPr>
        <w:pStyle w:val="Number2"/>
      </w:pPr>
      <w:r>
        <w:t>Describe the risk and provide a short (2 – 3 sentences) description of the unique nature of the risk.</w:t>
      </w:r>
    </w:p>
    <w:p w:rsidR="00CB30AA" w:rsidRDefault="00CB30AA" w:rsidP="007134F3">
      <w:pPr>
        <w:pStyle w:val="Number2"/>
      </w:pPr>
      <w:r>
        <w:t>Identify themes (i.e. fatalities due to power loss), trends (i.e. increase in cyber-attacks), and provide a “big picture” of the literature.</w:t>
      </w:r>
    </w:p>
    <w:p w:rsidR="00CB30AA" w:rsidRDefault="00CB30AA" w:rsidP="007134F3">
      <w:pPr>
        <w:pStyle w:val="Number1"/>
      </w:pPr>
      <w:r>
        <w:t xml:space="preserve">First Theme (A theme is a broad word or phrase that synthesizes a narrow group of related findings. For example, a theme of “Resistance” would include types of resistance, resistance to whom, resisting what, etc.). Provide an overview of characteristics of the theme (commonalities, differences, nuances). *Try to keep to 2 or </w:t>
      </w:r>
      <w:r w:rsidR="00DE5984">
        <w:t>fewer</w:t>
      </w:r>
      <w:r>
        <w:t xml:space="preserve"> paragraphs for each source.</w:t>
      </w:r>
    </w:p>
    <w:p w:rsidR="00CB30AA" w:rsidRDefault="00CB30AA" w:rsidP="007134F3">
      <w:pPr>
        <w:pStyle w:val="Number1"/>
      </w:pPr>
      <w:r>
        <w:t>Second Theme – follow a, b, c, and so on from above</w:t>
      </w:r>
    </w:p>
    <w:p w:rsidR="00CB30AA" w:rsidRDefault="00CB30AA" w:rsidP="007134F3">
      <w:pPr>
        <w:pStyle w:val="Number1"/>
      </w:pPr>
      <w:r>
        <w:t xml:space="preserve">Keep repeating with themes (only use identifiable themes; do not use non-relevant, minor themes) </w:t>
      </w:r>
    </w:p>
    <w:p w:rsidR="00CB30AA" w:rsidRDefault="00CB30AA" w:rsidP="007134F3">
      <w:pPr>
        <w:pStyle w:val="Number1"/>
      </w:pPr>
      <w:r>
        <w:t xml:space="preserve">Conclusion: </w:t>
      </w:r>
      <w:r w:rsidRPr="007134F3">
        <w:rPr>
          <w:b/>
          <w:i/>
        </w:rPr>
        <w:t>An evaluation/critique of the existing literature. Write enough paragraphs tying everything associated with the hypothesis together.</w:t>
      </w:r>
    </w:p>
    <w:p w:rsidR="00CB30AA" w:rsidRDefault="00CB30AA" w:rsidP="007134F3">
      <w:pPr>
        <w:pStyle w:val="Number2"/>
      </w:pPr>
      <w:r>
        <w:t xml:space="preserve">What are the contributions of this literature to the field? </w:t>
      </w:r>
    </w:p>
    <w:p w:rsidR="00CB30AA" w:rsidRDefault="00CB30AA" w:rsidP="007134F3">
      <w:pPr>
        <w:pStyle w:val="Number2"/>
      </w:pPr>
      <w:r>
        <w:t>What are the overall strengths?</w:t>
      </w:r>
    </w:p>
    <w:p w:rsidR="00CB30AA" w:rsidRDefault="00CB30AA" w:rsidP="007134F3">
      <w:pPr>
        <w:pStyle w:val="Number2"/>
      </w:pPr>
      <w:r>
        <w:t>What are the overall weaknesses?</w:t>
      </w:r>
    </w:p>
    <w:p w:rsidR="00CB30AA" w:rsidRPr="00735EAF" w:rsidRDefault="00CB30AA" w:rsidP="007134F3">
      <w:pPr>
        <w:pStyle w:val="Number2"/>
      </w:pPr>
      <w:r>
        <w:t>What might be missing?</w:t>
      </w:r>
    </w:p>
    <w:bookmarkEnd w:id="0"/>
    <w:p w:rsidR="004018D7" w:rsidRDefault="004018D7" w:rsidP="007134F3">
      <w:pPr>
        <w:keepNext/>
      </w:pPr>
    </w:p>
    <w:p w:rsidR="00881732" w:rsidRDefault="00881732">
      <w:pPr>
        <w:spacing w:after="200"/>
        <w:rPr>
          <w:rFonts w:ascii="Arial" w:eastAsia="Times New Roman" w:hAnsi="Arial" w:cs="Times New Roman"/>
          <w:b/>
          <w:color w:val="002F80"/>
          <w:spacing w:val="5"/>
          <w:kern w:val="28"/>
          <w:sz w:val="36"/>
          <w:szCs w:val="52"/>
        </w:rPr>
      </w:pPr>
      <w:r>
        <w:br w:type="page"/>
      </w:r>
    </w:p>
    <w:p w:rsidR="00CB30AA" w:rsidRPr="000E5235" w:rsidRDefault="00A3217D" w:rsidP="007134F3">
      <w:pPr>
        <w:pStyle w:val="Title"/>
      </w:pPr>
      <w:r>
        <w:lastRenderedPageBreak/>
        <w:t xml:space="preserve">Example: </w:t>
      </w:r>
      <w:r w:rsidR="00CB30AA">
        <w:t xml:space="preserve">Hospitals, Individuals with </w:t>
      </w:r>
      <w:r w:rsidR="000951EA">
        <w:t xml:space="preserve">Access and </w:t>
      </w:r>
      <w:r w:rsidR="00CB30AA">
        <w:t>Functional Needs, and Emergency Operations</w:t>
      </w:r>
    </w:p>
    <w:p w:rsidR="00CB30AA" w:rsidRDefault="00CB30AA" w:rsidP="007134F3">
      <w:pPr>
        <w:pStyle w:val="Heading1"/>
      </w:pPr>
      <w:r w:rsidRPr="0057205D">
        <w:t>Introduction</w:t>
      </w:r>
    </w:p>
    <w:p w:rsidR="00CB30AA" w:rsidRDefault="00CB30AA" w:rsidP="00CB30AA">
      <w:r>
        <w:t xml:space="preserve">Hospitals are a critical member of the whole community in many jurisdictions during and after emergency operations. However, the media often </w:t>
      </w:r>
      <w:r w:rsidR="00F77AD2">
        <w:t>prints</w:t>
      </w:r>
      <w:r>
        <w:t xml:space="preserve"> stories</w:t>
      </w:r>
      <w:r w:rsidR="00F77AD2">
        <w:t xml:space="preserve"> critiquing how hospitals treat individuals with functional needs during and after a disaster. </w:t>
      </w:r>
      <w:r>
        <w:t xml:space="preserve">  Yet, the media does not always prove a reliable source for information. Often the media presents “facts” from unknown or unreliable sources. The Federal Emergency Management Agency (FEMA) benefits from researching available literature associated with the subject of emergency operations that involve and/or affect hospitals and those with functional needs. </w:t>
      </w:r>
    </w:p>
    <w:p w:rsidR="00CB30AA" w:rsidRDefault="00CB30AA" w:rsidP="00CB30AA">
      <w:r>
        <w:t xml:space="preserve">The primary challenge when researching literature regarding hospitals, and functional needs persons during emergency operations is availability. Few academic sources study hospitals, individuals with functional needs, and emergency operations. While other sources such as magazines and trade journals exist, the bias often present in these sources make them unreliable and as a result sources that are not peer reviewed  were not considered. </w:t>
      </w:r>
    </w:p>
    <w:p w:rsidR="00CB30AA" w:rsidRDefault="00CB30AA" w:rsidP="00CB30AA">
      <w:r>
        <w:t>Three main themes emerged from the literature reviewed. First, hospital emergency plans do not take into account functional needs persons during emergency operations with the exception of evacuations. Second, plans often neglect losses of caregivers associated with disaster operations. Finally, terms such as “functional needs” and “special needs” are ambiguous requiring local determination to be useful.</w:t>
      </w:r>
    </w:p>
    <w:p w:rsidR="00CB30AA" w:rsidRDefault="00CB30AA" w:rsidP="00CB30AA">
      <w:r>
        <w:t>For this literature review, the foundational hypothesis is as follows: Hospitals currently lack an emergency management based framework for caring for individuals with functional need during emergency operations. While the preceding seems broad based on the ambiguity of “emergency operations” for this paper, “emergency operations” refer to any significant event that either directly or indirectly affects a hospital. Whether an event is an emergency operation relies on the capacity and capability of a hospital. For example, a 6-car accident in a rural community could severely stress the capacity and capability of a rural hospital. Conversely, a similar accident in a major metropolitan area could easily absorb such an accident.</w:t>
      </w:r>
    </w:p>
    <w:p w:rsidR="00CB30AA" w:rsidRDefault="00CB30AA" w:rsidP="007134F3">
      <w:pPr>
        <w:pStyle w:val="Heading1"/>
      </w:pPr>
      <w:r>
        <w:t>Function based definition required for em</w:t>
      </w:r>
      <w:r w:rsidR="00881732">
        <w:t>ergency management and planning</w:t>
      </w:r>
    </w:p>
    <w:p w:rsidR="00CB30AA" w:rsidRDefault="00CB30AA" w:rsidP="00CB30AA">
      <w:r>
        <w:t xml:space="preserve">Simple, accurate language often presents a challenge to those who write plans and doctrine. Kailes and Enders noted that the term “special </w:t>
      </w:r>
      <w:r w:rsidRPr="00F14643">
        <w:t>needs” appears simple and accurate</w:t>
      </w:r>
      <w:r w:rsidR="00665634" w:rsidRPr="00F14643">
        <w:t>, but</w:t>
      </w:r>
      <w:r w:rsidRPr="00F14643">
        <w:t xml:space="preserve"> </w:t>
      </w:r>
      <w:r w:rsidR="009549BA" w:rsidRPr="00F14643">
        <w:t>lacks specific guidelines for inclusion or exclusion</w:t>
      </w:r>
      <w:r w:rsidRPr="00F14643">
        <w:t>.</w:t>
      </w:r>
      <w:r w:rsidRPr="00F14643">
        <w:rPr>
          <w:rStyle w:val="FootnoteReference"/>
          <w:szCs w:val="24"/>
        </w:rPr>
        <w:footnoteReference w:id="1"/>
      </w:r>
      <w:r>
        <w:t xml:space="preserve"> For example, “special needs”, also known as “access and functional needs” can include not only those in wheel chairs or the blind, but pregnant individuals and those without motor vehicles.</w:t>
      </w:r>
      <w:r>
        <w:rPr>
          <w:rStyle w:val="FootnoteReference"/>
          <w:szCs w:val="24"/>
        </w:rPr>
        <w:footnoteReference w:id="2"/>
      </w:r>
      <w:r>
        <w:t xml:space="preserve"> </w:t>
      </w:r>
    </w:p>
    <w:p w:rsidR="00CB30AA" w:rsidRDefault="00CB30AA" w:rsidP="00CB30AA">
      <w:r>
        <w:t>Kailes and Enders conducted a review of literature including common definitions from sources including FEMA and Census 2000.</w:t>
      </w:r>
      <w:r>
        <w:rPr>
          <w:rStyle w:val="FootnoteReference"/>
          <w:szCs w:val="24"/>
        </w:rPr>
        <w:footnoteReference w:id="3"/>
      </w:r>
      <w:r>
        <w:t xml:space="preserve"> The materials reviewed indicated that upwards of 49.99% of </w:t>
      </w:r>
      <w:r>
        <w:lastRenderedPageBreak/>
        <w:t>the population of the United States falls in the broad category of “special needs” or “access and functional needs”. Kailes and Enders stated that with such a large portion of the population meeting the definition</w:t>
      </w:r>
      <w:r w:rsidR="00741F22">
        <w:t>,</w:t>
      </w:r>
      <w:r>
        <w:t xml:space="preserve"> </w:t>
      </w:r>
      <w:r w:rsidR="009549BA">
        <w:t xml:space="preserve">created </w:t>
      </w:r>
      <w:r>
        <w:t>a situation where planning becomes impossible.</w:t>
      </w:r>
      <w:r>
        <w:rPr>
          <w:rStyle w:val="FootnoteReference"/>
          <w:szCs w:val="24"/>
        </w:rPr>
        <w:footnoteReference w:id="4"/>
      </w:r>
    </w:p>
    <w:p w:rsidR="00CB30AA" w:rsidRDefault="00CB30AA" w:rsidP="00CB30AA">
      <w:r>
        <w:t>One proposed method to correct issues associated without having a clear definition of “access and functional needs” is to use a flexible framework based on five essential functional needs. Kailes and Enders contended that using communication, medical needs, maintaining functional independence, supervision, and transportation (C-MIST) plans, which overcome issues associated to an imprecise definition become possible.</w:t>
      </w:r>
      <w:r>
        <w:rPr>
          <w:rStyle w:val="FootnoteReference"/>
          <w:szCs w:val="24"/>
        </w:rPr>
        <w:footnoteReference w:id="5"/>
      </w:r>
      <w:r>
        <w:t xml:space="preserve"> However, Kailes and Enders fail to consider the local nature of emergencies.</w:t>
      </w:r>
    </w:p>
    <w:p w:rsidR="00CB30AA" w:rsidRDefault="00CB30AA" w:rsidP="00CB30AA">
      <w:pPr>
        <w:rPr>
          <w:szCs w:val="24"/>
        </w:rPr>
      </w:pPr>
      <w:r>
        <w:rPr>
          <w:szCs w:val="24"/>
        </w:rPr>
        <w:t>While Kailes</w:t>
      </w:r>
      <w:r w:rsidR="009A7E6F">
        <w:rPr>
          <w:szCs w:val="24"/>
        </w:rPr>
        <w:t>’s</w:t>
      </w:r>
      <w:r>
        <w:rPr>
          <w:szCs w:val="24"/>
        </w:rPr>
        <w:t xml:space="preserve"> and Enders</w:t>
      </w:r>
      <w:r w:rsidR="009A7E6F">
        <w:rPr>
          <w:szCs w:val="24"/>
        </w:rPr>
        <w:t>’s</w:t>
      </w:r>
      <w:r>
        <w:rPr>
          <w:szCs w:val="24"/>
        </w:rPr>
        <w:t xml:space="preserve"> point about the imprecision of terms associated with individuals with access and functional needs</w:t>
      </w:r>
      <w:r w:rsidR="00741F22">
        <w:rPr>
          <w:szCs w:val="24"/>
        </w:rPr>
        <w:t>,</w:t>
      </w:r>
      <w:r>
        <w:rPr>
          <w:szCs w:val="24"/>
        </w:rPr>
        <w:t xml:space="preserve"> their approach fails to incorporate the critical local factor.</w:t>
      </w:r>
      <w:r>
        <w:rPr>
          <w:rStyle w:val="FootnoteReference"/>
          <w:szCs w:val="24"/>
        </w:rPr>
        <w:footnoteReference w:id="6"/>
      </w:r>
      <w:r>
        <w:rPr>
          <w:szCs w:val="24"/>
        </w:rPr>
        <w:t xml:space="preserve"> Hogarth and Neil supported the preceding by noting that local capabilities are a critical consideration in any emergency.</w:t>
      </w:r>
      <w:r>
        <w:rPr>
          <w:rStyle w:val="FootnoteReference"/>
          <w:szCs w:val="24"/>
        </w:rPr>
        <w:footnoteReference w:id="7"/>
      </w:r>
      <w:r>
        <w:rPr>
          <w:szCs w:val="24"/>
        </w:rPr>
        <w:t xml:space="preserve"> According to Hogarth and Neil (2001) when an emergency occurs, the resources you have will limit how you respond.</w:t>
      </w:r>
      <w:r>
        <w:rPr>
          <w:rStyle w:val="FootnoteReference"/>
          <w:szCs w:val="24"/>
        </w:rPr>
        <w:footnoteReference w:id="8"/>
      </w:r>
      <w:r>
        <w:rPr>
          <w:szCs w:val="24"/>
        </w:rPr>
        <w:t xml:space="preserve"> For example, when their hospital ran an exercise that included an estimated 600 casualties the hospital discharged 48 patients deemed stable.</w:t>
      </w:r>
      <w:r>
        <w:rPr>
          <w:rStyle w:val="FootnoteReference"/>
          <w:szCs w:val="24"/>
        </w:rPr>
        <w:footnoteReference w:id="9"/>
      </w:r>
      <w:r>
        <w:rPr>
          <w:szCs w:val="24"/>
        </w:rPr>
        <w:t xml:space="preserve"> Additionally, the staff converted several non-traditional areas (i.e. recovery rooms) into operating rooms.</w:t>
      </w:r>
      <w:r>
        <w:rPr>
          <w:rStyle w:val="FootnoteReference"/>
          <w:szCs w:val="24"/>
        </w:rPr>
        <w:footnoteReference w:id="10"/>
      </w:r>
    </w:p>
    <w:p w:rsidR="00CB30AA" w:rsidRDefault="00CB30AA" w:rsidP="00CB30AA">
      <w:pPr>
        <w:rPr>
          <w:szCs w:val="24"/>
        </w:rPr>
      </w:pPr>
      <w:r>
        <w:rPr>
          <w:szCs w:val="24"/>
        </w:rPr>
        <w:t>Hogarth and Neil’s article present potentially biased information given only a single exercise forms the foundation for their information.</w:t>
      </w:r>
      <w:r>
        <w:rPr>
          <w:rStyle w:val="FootnoteReference"/>
          <w:szCs w:val="24"/>
        </w:rPr>
        <w:footnoteReference w:id="11"/>
      </w:r>
      <w:r>
        <w:rPr>
          <w:szCs w:val="24"/>
        </w:rPr>
        <w:t xml:space="preserve"> However, Hogarth and Neil’s information does reinforce the notion of the effect of limited resources.</w:t>
      </w:r>
      <w:r>
        <w:rPr>
          <w:rStyle w:val="FootnoteReference"/>
          <w:szCs w:val="24"/>
        </w:rPr>
        <w:footnoteReference w:id="12"/>
      </w:r>
      <w:r>
        <w:rPr>
          <w:szCs w:val="24"/>
        </w:rPr>
        <w:t xml:space="preserve"> Griffies further reinforced the notion that resources are limited in emergencies.</w:t>
      </w:r>
      <w:r>
        <w:rPr>
          <w:rStyle w:val="FootnoteReference"/>
          <w:szCs w:val="24"/>
        </w:rPr>
        <w:footnoteReference w:id="13"/>
      </w:r>
      <w:r>
        <w:rPr>
          <w:szCs w:val="24"/>
        </w:rPr>
        <w:t xml:space="preserve"> According to Griffies</w:t>
      </w:r>
      <w:r w:rsidR="00741F22">
        <w:rPr>
          <w:szCs w:val="24"/>
        </w:rPr>
        <w:t>,</w:t>
      </w:r>
      <w:r>
        <w:rPr>
          <w:szCs w:val="24"/>
        </w:rPr>
        <w:t xml:space="preserve"> in the aftermath of Hurricane Katrina the number of psychiatrists in New Orleans went from 196 to 22.</w:t>
      </w:r>
      <w:r>
        <w:rPr>
          <w:rStyle w:val="FootnoteReference"/>
          <w:szCs w:val="24"/>
        </w:rPr>
        <w:footnoteReference w:id="14"/>
      </w:r>
      <w:r>
        <w:rPr>
          <w:szCs w:val="24"/>
        </w:rPr>
        <w:t xml:space="preserve"> Although the population in New Orleans dropped from approximately 480,000 to 240,000 the loss of psychiatric capability was significant.</w:t>
      </w:r>
      <w:r>
        <w:rPr>
          <w:rStyle w:val="FootnoteReference"/>
          <w:szCs w:val="24"/>
        </w:rPr>
        <w:footnoteReference w:id="15"/>
      </w:r>
      <w:r>
        <w:rPr>
          <w:szCs w:val="24"/>
        </w:rPr>
        <w:t xml:space="preserve"> Overall, the psychiatrists went from one psychiatrist for approximately every 2,449 to one psychiatrist for approximately every 10,909.</w:t>
      </w:r>
      <w:r>
        <w:rPr>
          <w:rStyle w:val="FootnoteReference"/>
          <w:szCs w:val="24"/>
        </w:rPr>
        <w:footnoteReference w:id="16"/>
      </w:r>
    </w:p>
    <w:p w:rsidR="00CB30AA" w:rsidRDefault="00CB30AA" w:rsidP="00CB30AA">
      <w:pPr>
        <w:rPr>
          <w:szCs w:val="24"/>
        </w:rPr>
      </w:pPr>
      <w:r>
        <w:rPr>
          <w:szCs w:val="24"/>
        </w:rPr>
        <w:t>One of the key elements in the article comes from quantitative research conducted involving non-return factors involving physicians.</w:t>
      </w:r>
      <w:r>
        <w:rPr>
          <w:rStyle w:val="FootnoteReference"/>
          <w:szCs w:val="24"/>
        </w:rPr>
        <w:footnoteReference w:id="17"/>
      </w:r>
      <w:r>
        <w:rPr>
          <w:szCs w:val="24"/>
        </w:rPr>
        <w:t xml:space="preserve"> Griffies (2010) reported that based on research, one of the major factors for physicians not returning after a major emergency is the perception of the effort required to reestablish a practice.</w:t>
      </w:r>
      <w:r>
        <w:rPr>
          <w:rStyle w:val="FootnoteReference"/>
          <w:szCs w:val="24"/>
        </w:rPr>
        <w:footnoteReference w:id="18"/>
      </w:r>
      <w:r>
        <w:rPr>
          <w:szCs w:val="24"/>
        </w:rPr>
        <w:t xml:space="preserve"> While physician availability and return is not </w:t>
      </w:r>
      <w:r>
        <w:rPr>
          <w:szCs w:val="24"/>
        </w:rPr>
        <w:lastRenderedPageBreak/>
        <w:t>necessarily associated with planning for hospital emergencies involving those with access and functional needs</w:t>
      </w:r>
      <w:r w:rsidR="00741F22">
        <w:rPr>
          <w:szCs w:val="24"/>
        </w:rPr>
        <w:t>,</w:t>
      </w:r>
      <w:r>
        <w:rPr>
          <w:szCs w:val="24"/>
        </w:rPr>
        <w:t xml:space="preserve"> it is a critical factor. A hospital that loses a significant portion of specialized care providers severely affects the ability to evacuate or care for those with “access and functional needs”. </w:t>
      </w:r>
    </w:p>
    <w:p w:rsidR="00CB30AA" w:rsidRDefault="00CB30AA" w:rsidP="007134F3">
      <w:pPr>
        <w:pStyle w:val="Heading1"/>
      </w:pPr>
      <w:r>
        <w:t>Conclusion</w:t>
      </w:r>
    </w:p>
    <w:p w:rsidR="00CB30AA" w:rsidRDefault="00CB30AA" w:rsidP="007134F3">
      <w:pPr>
        <w:rPr>
          <w:szCs w:val="24"/>
        </w:rPr>
      </w:pPr>
      <w:r>
        <w:rPr>
          <w:szCs w:val="24"/>
        </w:rPr>
        <w:t>In conclusion, the three articles reviewed provided three major themes. First, the ambiguity of who is included or excluded from the “access and functional needs” definition creates problems with planning for emergencies. It is possible to mitigate the ambiguity surrounding “access and functional needs” by providing an explicit definition. Another method for approaching the question of ambiguity is to reinforce the notion that local planners need to develop an understanding of their community. The first method could result in overlooking a population, while the second method ensures a tailored approach.</w:t>
      </w:r>
    </w:p>
    <w:p w:rsidR="00CB30AA" w:rsidRDefault="00CB30AA" w:rsidP="007134F3">
      <w:pPr>
        <w:rPr>
          <w:szCs w:val="24"/>
        </w:rPr>
      </w:pPr>
      <w:r>
        <w:rPr>
          <w:szCs w:val="24"/>
        </w:rPr>
        <w:t xml:space="preserve">The second theme of limited resources is a familiar theme. However, two of the articles indicate that while the theme is common planners still overlook it when planning or conducting exercise. Moreover, in hospitals it is critical to understand that often those working in the hospital are the ones who will respond. Additionally, those in the hospital could be the only medical personnel available for several operational periods. The aforementioned </w:t>
      </w:r>
      <w:r w:rsidR="00741F22">
        <w:rPr>
          <w:szCs w:val="24"/>
        </w:rPr>
        <w:t xml:space="preserve">factors </w:t>
      </w:r>
      <w:r>
        <w:rPr>
          <w:szCs w:val="24"/>
        </w:rPr>
        <w:t>limit the ability of a hospital to provide services to those requiring specialized care.</w:t>
      </w:r>
    </w:p>
    <w:p w:rsidR="00CB30AA" w:rsidRDefault="00CB30AA" w:rsidP="00CB30AA">
      <w:pPr>
        <w:rPr>
          <w:szCs w:val="24"/>
        </w:rPr>
      </w:pPr>
      <w:r>
        <w:rPr>
          <w:szCs w:val="24"/>
        </w:rPr>
        <w:t>The final theme of loss of specialized health care professional relates closely to the second theme. Just like with the second theme, the final theme is a critical planning consideration since replacement of those medical personnel lost is unlikely. In the event replacements for medical personnel do not occur, planners would have to account for the ability to transport and/or care for those with special needs.</w:t>
      </w:r>
    </w:p>
    <w:p w:rsidR="00CB30AA" w:rsidRDefault="00CB30AA" w:rsidP="00CB30AA">
      <w:pPr>
        <w:rPr>
          <w:szCs w:val="24"/>
        </w:rPr>
      </w:pPr>
      <w:r>
        <w:rPr>
          <w:szCs w:val="24"/>
        </w:rPr>
        <w:t>Overall, the articles reviewed provide a strong foundation for conducting more research. Yet, the articles often lack quantifiable data. To develop a better understanding of the real situation of hospital</w:t>
      </w:r>
      <w:r w:rsidR="00741F22">
        <w:rPr>
          <w:szCs w:val="24"/>
        </w:rPr>
        <w:t>s</w:t>
      </w:r>
      <w:r>
        <w:rPr>
          <w:szCs w:val="24"/>
        </w:rPr>
        <w:t xml:space="preserve"> when it comes to emergency planning incorporating those with access and functional needs requires quantifiable data.</w:t>
      </w:r>
    </w:p>
    <w:p w:rsidR="00CB30AA" w:rsidRDefault="00CB30AA" w:rsidP="007134F3">
      <w:pPr>
        <w:pStyle w:val="Heading1"/>
      </w:pPr>
      <w:r w:rsidRPr="00C310E7">
        <w:t>References</w:t>
      </w:r>
    </w:p>
    <w:p w:rsidR="00CB30AA" w:rsidRDefault="00CB30AA" w:rsidP="007134F3">
      <w:r>
        <w:t xml:space="preserve">Griffies, S. (2010). Health care infrastructure Post-Katrina: Disaster planning to return health care workers to their home communities. </w:t>
      </w:r>
      <w:r w:rsidRPr="00E03F1B">
        <w:rPr>
          <w:i/>
        </w:rPr>
        <w:t>Psychiatric Services, 61(1)</w:t>
      </w:r>
      <w:r>
        <w:t>, 70 – 73.</w:t>
      </w:r>
    </w:p>
    <w:p w:rsidR="00CB30AA" w:rsidRDefault="00CB30AA" w:rsidP="007134F3">
      <w:proofErr w:type="gramStart"/>
      <w:r>
        <w:t>Hogarth, W. D. &amp; Neil, G. F. (2001).</w:t>
      </w:r>
      <w:proofErr w:type="gramEnd"/>
      <w:r>
        <w:t xml:space="preserve"> Anatomy of a disaster: One hospital’s experience and recommendations. </w:t>
      </w:r>
      <w:r w:rsidRPr="004006EE">
        <w:rPr>
          <w:i/>
        </w:rPr>
        <w:t>CJEM: Journal of the Canadian Association of Emergency Physicians, 3(1)</w:t>
      </w:r>
      <w:r>
        <w:t>, 38 – 40.</w:t>
      </w:r>
    </w:p>
    <w:p w:rsidR="00254920" w:rsidRDefault="00CB30AA" w:rsidP="007134F3">
      <w:r>
        <w:t xml:space="preserve">Kailes, J. I. (2007). </w:t>
      </w:r>
      <w:proofErr w:type="gramStart"/>
      <w:r>
        <w:t>Moving beyond “special needs”.</w:t>
      </w:r>
      <w:proofErr w:type="gramEnd"/>
      <w:r>
        <w:t xml:space="preserve"> </w:t>
      </w:r>
      <w:r w:rsidRPr="006B4D9E">
        <w:rPr>
          <w:i/>
        </w:rPr>
        <w:t>Journal of Disability Policy Studies, 17(4)</w:t>
      </w:r>
      <w:r>
        <w:t>, 203 – 237</w:t>
      </w:r>
      <w:r w:rsidR="00881732">
        <w:t>.</w:t>
      </w:r>
    </w:p>
    <w:p w:rsidR="00254920" w:rsidRDefault="00254920" w:rsidP="007134F3"/>
    <w:p w:rsidR="00E562B0" w:rsidRPr="00735EAF" w:rsidRDefault="00E562B0" w:rsidP="00811E51">
      <w:pPr>
        <w:spacing w:after="200"/>
      </w:pPr>
    </w:p>
    <w:sectPr w:rsidR="00E562B0" w:rsidRPr="00735EAF" w:rsidSect="007134F3">
      <w:headerReference w:type="default" r:id="rId10"/>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760" w:rsidRDefault="003B4760" w:rsidP="00DF5545">
      <w:r>
        <w:separator/>
      </w:r>
    </w:p>
  </w:endnote>
  <w:endnote w:type="continuationSeparator" w:id="0">
    <w:p w:rsidR="003B4760" w:rsidRDefault="003B4760" w:rsidP="00D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545" w:rsidRPr="00CB78F4" w:rsidRDefault="002C1575" w:rsidP="00CB78F4">
    <w:pPr>
      <w:pStyle w:val="Footer"/>
      <w:tabs>
        <w:tab w:val="clear" w:pos="4680"/>
      </w:tabs>
      <w:rPr>
        <w:color w:val="002F80" w:themeColor="text2"/>
      </w:rPr>
    </w:pPr>
    <w:r>
      <w:rPr>
        <w:color w:val="002F80" w:themeColor="text2"/>
      </w:rPr>
      <w:t>National Preparedness Directorate / National Integration Center</w:t>
    </w:r>
    <w:r w:rsidR="00CB78F4" w:rsidRPr="00AD5ADE">
      <w:rPr>
        <w:color w:val="002F80" w:themeColor="text2"/>
      </w:rPr>
      <w:t>, FEMA</w:t>
    </w:r>
    <w:r w:rsidR="00CB78F4" w:rsidRPr="00AD5ADE">
      <w:rPr>
        <w:color w:val="002F80" w:themeColor="text2"/>
      </w:rPr>
      <w:tab/>
    </w:r>
    <w:sdt>
      <w:sdtPr>
        <w:rPr>
          <w:color w:val="002F80" w:themeColor="text2"/>
        </w:rPr>
        <w:id w:val="-1876460289"/>
        <w:docPartObj>
          <w:docPartGallery w:val="Page Numbers (Bottom of Page)"/>
          <w:docPartUnique/>
        </w:docPartObj>
      </w:sdtPr>
      <w:sdtEndPr>
        <w:rPr>
          <w:noProof/>
        </w:rPr>
      </w:sdtEndPr>
      <w:sdtContent>
        <w:r w:rsidR="00CB78F4" w:rsidRPr="00AD5ADE">
          <w:rPr>
            <w:color w:val="002F80" w:themeColor="text2"/>
          </w:rPr>
          <w:fldChar w:fldCharType="begin"/>
        </w:r>
        <w:r w:rsidR="00CB78F4" w:rsidRPr="00AD5ADE">
          <w:rPr>
            <w:color w:val="002F80" w:themeColor="text2"/>
          </w:rPr>
          <w:instrText xml:space="preserve"> PAGE   \* MERGEFORMAT </w:instrText>
        </w:r>
        <w:r w:rsidR="00CB78F4" w:rsidRPr="00AD5ADE">
          <w:rPr>
            <w:color w:val="002F80" w:themeColor="text2"/>
          </w:rPr>
          <w:fldChar w:fldCharType="separate"/>
        </w:r>
        <w:r w:rsidR="00D227CA">
          <w:rPr>
            <w:noProof/>
            <w:color w:val="002F80" w:themeColor="text2"/>
          </w:rPr>
          <w:t>1</w:t>
        </w:r>
        <w:r w:rsidR="00CB78F4" w:rsidRPr="00AD5ADE">
          <w:rPr>
            <w:noProof/>
            <w:color w:val="002F80" w:themeColor="text2"/>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760" w:rsidRDefault="003B4760" w:rsidP="00DF5545">
      <w:r>
        <w:separator/>
      </w:r>
    </w:p>
  </w:footnote>
  <w:footnote w:type="continuationSeparator" w:id="0">
    <w:p w:rsidR="003B4760" w:rsidRDefault="003B4760" w:rsidP="00DF5545">
      <w:r>
        <w:continuationSeparator/>
      </w:r>
    </w:p>
  </w:footnote>
  <w:footnote w:id="1">
    <w:p w:rsidR="00CB30AA" w:rsidRDefault="00CB30AA" w:rsidP="00CB30AA">
      <w:pPr>
        <w:pStyle w:val="FootnoteText"/>
      </w:pPr>
      <w:r>
        <w:rPr>
          <w:rStyle w:val="FootnoteReference"/>
        </w:rPr>
        <w:footnoteRef/>
      </w:r>
      <w:r>
        <w:t xml:space="preserve"> </w:t>
      </w:r>
      <w:proofErr w:type="spellStart"/>
      <w:r w:rsidRPr="00DE1860">
        <w:t>Kailes</w:t>
      </w:r>
      <w:proofErr w:type="spellEnd"/>
      <w:r w:rsidRPr="00DE1860">
        <w:t xml:space="preserve">, J. I. (2007). </w:t>
      </w:r>
      <w:proofErr w:type="gramStart"/>
      <w:r w:rsidRPr="00DE1860">
        <w:t>Moving beyond “special needs”.</w:t>
      </w:r>
      <w:proofErr w:type="gramEnd"/>
      <w:r w:rsidRPr="00DE1860">
        <w:t xml:space="preserve"> </w:t>
      </w:r>
      <w:r w:rsidRPr="00F14643">
        <w:rPr>
          <w:i/>
        </w:rPr>
        <w:t>Journal of Disability Policy Studies, 17(4),</w:t>
      </w:r>
      <w:r w:rsidRPr="00DE1860">
        <w:t xml:space="preserve"> 203 – 237.</w:t>
      </w:r>
    </w:p>
  </w:footnote>
  <w:footnote w:id="2">
    <w:p w:rsidR="00CB30AA" w:rsidRDefault="00CB30AA" w:rsidP="00CB30AA">
      <w:pPr>
        <w:pStyle w:val="FootnoteText"/>
      </w:pPr>
      <w:r>
        <w:rPr>
          <w:rStyle w:val="FootnoteReference"/>
        </w:rPr>
        <w:footnoteRef/>
      </w:r>
      <w:r>
        <w:t xml:space="preserve"> Ibid</w:t>
      </w:r>
      <w:r w:rsidRPr="00B071DB">
        <w:t>.</w:t>
      </w:r>
    </w:p>
  </w:footnote>
  <w:footnote w:id="3">
    <w:p w:rsidR="00CB30AA" w:rsidRDefault="00CB30AA" w:rsidP="00CB30AA">
      <w:pPr>
        <w:pStyle w:val="FootnoteText"/>
      </w:pPr>
      <w:r>
        <w:rPr>
          <w:rStyle w:val="FootnoteReference"/>
        </w:rPr>
        <w:footnoteRef/>
      </w:r>
      <w:r>
        <w:t xml:space="preserve"> </w:t>
      </w:r>
      <w:r w:rsidR="00881732">
        <w:t>Ibid</w:t>
      </w:r>
      <w:r w:rsidRPr="00DE1860">
        <w:t>.</w:t>
      </w:r>
    </w:p>
  </w:footnote>
  <w:footnote w:id="4">
    <w:p w:rsidR="00CB30AA" w:rsidRDefault="00CB30AA" w:rsidP="00CB30AA">
      <w:pPr>
        <w:pStyle w:val="FootnoteText"/>
      </w:pPr>
      <w:r>
        <w:rPr>
          <w:rStyle w:val="FootnoteReference"/>
        </w:rPr>
        <w:footnoteRef/>
      </w:r>
      <w:r>
        <w:t xml:space="preserve"> Ibid.</w:t>
      </w:r>
    </w:p>
  </w:footnote>
  <w:footnote w:id="5">
    <w:p w:rsidR="00CB30AA" w:rsidRDefault="00CB30AA" w:rsidP="00CB30AA">
      <w:pPr>
        <w:pStyle w:val="FootnoteText"/>
      </w:pPr>
      <w:r>
        <w:rPr>
          <w:rStyle w:val="FootnoteReference"/>
        </w:rPr>
        <w:footnoteRef/>
      </w:r>
      <w:r>
        <w:t xml:space="preserve"> Ibid.</w:t>
      </w:r>
    </w:p>
  </w:footnote>
  <w:footnote w:id="6">
    <w:p w:rsidR="00CB30AA" w:rsidRDefault="00CB30AA" w:rsidP="00CB30AA">
      <w:pPr>
        <w:pStyle w:val="FootnoteText"/>
      </w:pPr>
      <w:r>
        <w:rPr>
          <w:rStyle w:val="FootnoteReference"/>
        </w:rPr>
        <w:footnoteRef/>
      </w:r>
      <w:r>
        <w:t xml:space="preserve"> Ibid.</w:t>
      </w:r>
    </w:p>
  </w:footnote>
  <w:footnote w:id="7">
    <w:p w:rsidR="00CB30AA" w:rsidRDefault="00CB30AA" w:rsidP="00CB30AA">
      <w:pPr>
        <w:pStyle w:val="FootnoteText"/>
      </w:pPr>
      <w:r>
        <w:rPr>
          <w:rStyle w:val="FootnoteReference"/>
        </w:rPr>
        <w:footnoteRef/>
      </w:r>
      <w:r>
        <w:t xml:space="preserve"> </w:t>
      </w:r>
      <w:proofErr w:type="gramStart"/>
      <w:r w:rsidRPr="00B071DB">
        <w:t>Hogarth, W. D. &amp; Neil, G. F. (2001).</w:t>
      </w:r>
      <w:proofErr w:type="gramEnd"/>
      <w:r w:rsidRPr="00B071DB">
        <w:t xml:space="preserve"> Anatomy of a disaster: One hospital’s experience and recommendations. </w:t>
      </w:r>
      <w:r w:rsidRPr="00F14643">
        <w:rPr>
          <w:i/>
        </w:rPr>
        <w:t>CJEM: Journal of the Canadian Association of Emergency Physicians, 3(1)</w:t>
      </w:r>
      <w:r w:rsidRPr="00B071DB">
        <w:t>, 38 – 40.</w:t>
      </w:r>
    </w:p>
  </w:footnote>
  <w:footnote w:id="8">
    <w:p w:rsidR="00CB30AA" w:rsidRDefault="00CB30AA" w:rsidP="00CB30AA">
      <w:pPr>
        <w:pStyle w:val="FootnoteText"/>
      </w:pPr>
      <w:r>
        <w:rPr>
          <w:rStyle w:val="FootnoteReference"/>
        </w:rPr>
        <w:footnoteRef/>
      </w:r>
      <w:r>
        <w:t xml:space="preserve"> Ibid.</w:t>
      </w:r>
    </w:p>
  </w:footnote>
  <w:footnote w:id="9">
    <w:p w:rsidR="00CB30AA" w:rsidRDefault="00CB30AA" w:rsidP="00CB30AA">
      <w:pPr>
        <w:pStyle w:val="FootnoteText"/>
      </w:pPr>
      <w:r>
        <w:rPr>
          <w:rStyle w:val="FootnoteReference"/>
        </w:rPr>
        <w:footnoteRef/>
      </w:r>
      <w:r>
        <w:t xml:space="preserve"> Ibid.</w:t>
      </w:r>
    </w:p>
  </w:footnote>
  <w:footnote w:id="10">
    <w:p w:rsidR="00CB30AA" w:rsidRDefault="00CB30AA" w:rsidP="00CB30AA">
      <w:pPr>
        <w:pStyle w:val="FootnoteText"/>
      </w:pPr>
      <w:r>
        <w:rPr>
          <w:rStyle w:val="FootnoteReference"/>
        </w:rPr>
        <w:footnoteRef/>
      </w:r>
      <w:r>
        <w:t xml:space="preserve"> Ibid</w:t>
      </w:r>
      <w:r w:rsidRPr="00B071DB">
        <w:t>.</w:t>
      </w:r>
    </w:p>
  </w:footnote>
  <w:footnote w:id="11">
    <w:p w:rsidR="00CB30AA" w:rsidRDefault="00CB30AA" w:rsidP="00CB30AA">
      <w:pPr>
        <w:pStyle w:val="FootnoteText"/>
      </w:pPr>
      <w:r>
        <w:rPr>
          <w:rStyle w:val="FootnoteReference"/>
        </w:rPr>
        <w:footnoteRef/>
      </w:r>
      <w:r>
        <w:t xml:space="preserve"> Ibid.</w:t>
      </w:r>
    </w:p>
  </w:footnote>
  <w:footnote w:id="12">
    <w:p w:rsidR="00CB30AA" w:rsidRDefault="00CB30AA" w:rsidP="00CB30AA">
      <w:pPr>
        <w:pStyle w:val="FootnoteText"/>
      </w:pPr>
      <w:r>
        <w:rPr>
          <w:rStyle w:val="FootnoteReference"/>
        </w:rPr>
        <w:footnoteRef/>
      </w:r>
      <w:r>
        <w:t xml:space="preserve"> Ibid.</w:t>
      </w:r>
    </w:p>
  </w:footnote>
  <w:footnote w:id="13">
    <w:p w:rsidR="00CB30AA" w:rsidRDefault="00CB30AA" w:rsidP="00CB30AA">
      <w:pPr>
        <w:pStyle w:val="FootnoteText"/>
      </w:pPr>
      <w:r>
        <w:rPr>
          <w:rStyle w:val="FootnoteReference"/>
        </w:rPr>
        <w:footnoteRef/>
      </w:r>
      <w:r>
        <w:t xml:space="preserve"> </w:t>
      </w:r>
      <w:r w:rsidRPr="00B071DB">
        <w:t xml:space="preserve">Griffies, S. (2010). Health care infrastructure Post-Katrina: Disaster planning to return health care workers to their home communities. </w:t>
      </w:r>
      <w:r w:rsidRPr="00F14643">
        <w:rPr>
          <w:i/>
        </w:rPr>
        <w:t>Psychiatric Services, 61(1)</w:t>
      </w:r>
      <w:r w:rsidRPr="00B071DB">
        <w:t>, 70 – 73.</w:t>
      </w:r>
    </w:p>
  </w:footnote>
  <w:footnote w:id="14">
    <w:p w:rsidR="00CB30AA" w:rsidRDefault="00CB30AA" w:rsidP="00CB30AA">
      <w:pPr>
        <w:pStyle w:val="FootnoteText"/>
      </w:pPr>
      <w:r>
        <w:rPr>
          <w:rStyle w:val="FootnoteReference"/>
        </w:rPr>
        <w:footnoteRef/>
      </w:r>
      <w:r>
        <w:t xml:space="preserve"> Ibid.</w:t>
      </w:r>
    </w:p>
  </w:footnote>
  <w:footnote w:id="15">
    <w:p w:rsidR="00CB30AA" w:rsidRDefault="00CB30AA" w:rsidP="00CB30AA">
      <w:pPr>
        <w:pStyle w:val="FootnoteText"/>
      </w:pPr>
      <w:r>
        <w:rPr>
          <w:rStyle w:val="FootnoteReference"/>
        </w:rPr>
        <w:footnoteRef/>
      </w:r>
      <w:r>
        <w:t xml:space="preserve"> Ibid.</w:t>
      </w:r>
    </w:p>
  </w:footnote>
  <w:footnote w:id="16">
    <w:p w:rsidR="00CB30AA" w:rsidRDefault="00CB30AA" w:rsidP="00CB30AA">
      <w:pPr>
        <w:pStyle w:val="FootnoteText"/>
      </w:pPr>
      <w:r>
        <w:rPr>
          <w:rStyle w:val="FootnoteReference"/>
        </w:rPr>
        <w:footnoteRef/>
      </w:r>
      <w:r>
        <w:t xml:space="preserve"> Ibid.</w:t>
      </w:r>
    </w:p>
  </w:footnote>
  <w:footnote w:id="17">
    <w:p w:rsidR="00CB30AA" w:rsidRDefault="00CB30AA" w:rsidP="00CB30AA">
      <w:pPr>
        <w:pStyle w:val="FootnoteText"/>
      </w:pPr>
      <w:r>
        <w:rPr>
          <w:rStyle w:val="FootnoteReference"/>
        </w:rPr>
        <w:footnoteRef/>
      </w:r>
      <w:r>
        <w:t xml:space="preserve"> </w:t>
      </w:r>
      <w:r w:rsidR="00881732">
        <w:t>Ibid</w:t>
      </w:r>
      <w:r w:rsidRPr="004A7CD1">
        <w:t>.</w:t>
      </w:r>
    </w:p>
  </w:footnote>
  <w:footnote w:id="18">
    <w:p w:rsidR="00CB30AA" w:rsidRDefault="00CB30AA" w:rsidP="00CB30AA">
      <w:pPr>
        <w:pStyle w:val="FootnoteText"/>
      </w:pPr>
      <w:r>
        <w:rPr>
          <w:rStyle w:val="FootnoteReference"/>
        </w:rPr>
        <w:footnoteRef/>
      </w:r>
      <w:r>
        <w:t xml:space="preserve"> Ibid.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8E7" w:rsidRPr="008D38E7" w:rsidRDefault="003B4760" w:rsidP="008D38E7">
    <w:pPr>
      <w:pStyle w:val="Header"/>
      <w:rPr>
        <w:color w:val="002F80" w:themeColor="text2"/>
      </w:rPr>
    </w:pPr>
    <w:sdt>
      <w:sdtPr>
        <w:rPr>
          <w:color w:val="002F80" w:themeColor="text2"/>
        </w:rPr>
        <w:id w:val="1918596598"/>
        <w:docPartObj>
          <w:docPartGallery w:val="Watermarks"/>
          <w:docPartUnique/>
        </w:docPartObj>
      </w:sdtPr>
      <w:sdtEndPr/>
      <w:sdtContent>
        <w:r>
          <w:rPr>
            <w:noProof/>
            <w:color w:val="002F80" w:themeColor="text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D38E7" w:rsidRPr="00AD5ADE">
      <w:rPr>
        <w:color w:val="002F80" w:themeColor="text2"/>
      </w:rPr>
      <w:t>PRE-DE</w:t>
    </w:r>
    <w:r w:rsidR="008E3374">
      <w:rPr>
        <w:color w:val="002F80" w:themeColor="text2"/>
      </w:rPr>
      <w:t xml:space="preserve">CISIONAL DRAFT </w:t>
    </w:r>
    <w:r w:rsidR="008E3374">
      <w:rPr>
        <w:color w:val="002F80" w:themeColor="text2"/>
      </w:rPr>
      <w:tab/>
    </w:r>
    <w:r w:rsidR="008E3374">
      <w:rPr>
        <w:color w:val="002F80" w:themeColor="text2"/>
      </w:rPr>
      <w:tab/>
    </w:r>
    <w:r w:rsidR="002C1575">
      <w:rPr>
        <w:color w:val="002F80" w:themeColor="text2"/>
      </w:rPr>
      <w:t xml:space="preserve">February </w:t>
    </w:r>
    <w:r w:rsidR="00514072">
      <w:rPr>
        <w:color w:val="002F80" w:themeColor="text2"/>
      </w:rPr>
      <w:t>1</w:t>
    </w:r>
    <w:r w:rsidR="00D227CA">
      <w:rPr>
        <w:color w:val="002F80" w:themeColor="text2"/>
      </w:rPr>
      <w:t>1</w:t>
    </w:r>
    <w:r w:rsidR="002C1575">
      <w:rPr>
        <w:color w:val="002F80" w:themeColor="text2"/>
      </w:rPr>
      <w:t>, 201</w:t>
    </w:r>
    <w:r w:rsidR="008E3374">
      <w:rPr>
        <w:color w:val="002F80" w:themeColor="text2"/>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3F0BA8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F35AED"/>
    <w:multiLevelType w:val="hybridMultilevel"/>
    <w:tmpl w:val="DD8276E8"/>
    <w:lvl w:ilvl="0" w:tplc="0E9A89FE">
      <w:start w:val="1"/>
      <w:numFmt w:val="bullet"/>
      <w:lvlText w:val="•"/>
      <w:lvlJc w:val="left"/>
      <w:pPr>
        <w:tabs>
          <w:tab w:val="num" w:pos="720"/>
        </w:tabs>
        <w:ind w:left="720" w:hanging="360"/>
      </w:pPr>
      <w:rPr>
        <w:rFonts w:ascii="Arial" w:hAnsi="Arial" w:hint="default"/>
      </w:rPr>
    </w:lvl>
    <w:lvl w:ilvl="1" w:tplc="6C2A18C6" w:tentative="1">
      <w:start w:val="1"/>
      <w:numFmt w:val="bullet"/>
      <w:lvlText w:val="•"/>
      <w:lvlJc w:val="left"/>
      <w:pPr>
        <w:tabs>
          <w:tab w:val="num" w:pos="1440"/>
        </w:tabs>
        <w:ind w:left="1440" w:hanging="360"/>
      </w:pPr>
      <w:rPr>
        <w:rFonts w:ascii="Arial" w:hAnsi="Arial" w:hint="default"/>
      </w:rPr>
    </w:lvl>
    <w:lvl w:ilvl="2" w:tplc="E2F0B88E" w:tentative="1">
      <w:start w:val="1"/>
      <w:numFmt w:val="bullet"/>
      <w:lvlText w:val="•"/>
      <w:lvlJc w:val="left"/>
      <w:pPr>
        <w:tabs>
          <w:tab w:val="num" w:pos="2160"/>
        </w:tabs>
        <w:ind w:left="2160" w:hanging="360"/>
      </w:pPr>
      <w:rPr>
        <w:rFonts w:ascii="Arial" w:hAnsi="Arial" w:hint="default"/>
      </w:rPr>
    </w:lvl>
    <w:lvl w:ilvl="3" w:tplc="CEA07C26" w:tentative="1">
      <w:start w:val="1"/>
      <w:numFmt w:val="bullet"/>
      <w:lvlText w:val="•"/>
      <w:lvlJc w:val="left"/>
      <w:pPr>
        <w:tabs>
          <w:tab w:val="num" w:pos="2880"/>
        </w:tabs>
        <w:ind w:left="2880" w:hanging="360"/>
      </w:pPr>
      <w:rPr>
        <w:rFonts w:ascii="Arial" w:hAnsi="Arial" w:hint="default"/>
      </w:rPr>
    </w:lvl>
    <w:lvl w:ilvl="4" w:tplc="317A92B8" w:tentative="1">
      <w:start w:val="1"/>
      <w:numFmt w:val="bullet"/>
      <w:lvlText w:val="•"/>
      <w:lvlJc w:val="left"/>
      <w:pPr>
        <w:tabs>
          <w:tab w:val="num" w:pos="3600"/>
        </w:tabs>
        <w:ind w:left="3600" w:hanging="360"/>
      </w:pPr>
      <w:rPr>
        <w:rFonts w:ascii="Arial" w:hAnsi="Arial" w:hint="default"/>
      </w:rPr>
    </w:lvl>
    <w:lvl w:ilvl="5" w:tplc="41688168" w:tentative="1">
      <w:start w:val="1"/>
      <w:numFmt w:val="bullet"/>
      <w:lvlText w:val="•"/>
      <w:lvlJc w:val="left"/>
      <w:pPr>
        <w:tabs>
          <w:tab w:val="num" w:pos="4320"/>
        </w:tabs>
        <w:ind w:left="4320" w:hanging="360"/>
      </w:pPr>
      <w:rPr>
        <w:rFonts w:ascii="Arial" w:hAnsi="Arial" w:hint="default"/>
      </w:rPr>
    </w:lvl>
    <w:lvl w:ilvl="6" w:tplc="F2C88628" w:tentative="1">
      <w:start w:val="1"/>
      <w:numFmt w:val="bullet"/>
      <w:lvlText w:val="•"/>
      <w:lvlJc w:val="left"/>
      <w:pPr>
        <w:tabs>
          <w:tab w:val="num" w:pos="5040"/>
        </w:tabs>
        <w:ind w:left="5040" w:hanging="360"/>
      </w:pPr>
      <w:rPr>
        <w:rFonts w:ascii="Arial" w:hAnsi="Arial" w:hint="default"/>
      </w:rPr>
    </w:lvl>
    <w:lvl w:ilvl="7" w:tplc="52CCE6C2" w:tentative="1">
      <w:start w:val="1"/>
      <w:numFmt w:val="bullet"/>
      <w:lvlText w:val="•"/>
      <w:lvlJc w:val="left"/>
      <w:pPr>
        <w:tabs>
          <w:tab w:val="num" w:pos="5760"/>
        </w:tabs>
        <w:ind w:left="5760" w:hanging="360"/>
      </w:pPr>
      <w:rPr>
        <w:rFonts w:ascii="Arial" w:hAnsi="Arial" w:hint="default"/>
      </w:rPr>
    </w:lvl>
    <w:lvl w:ilvl="8" w:tplc="64348188" w:tentative="1">
      <w:start w:val="1"/>
      <w:numFmt w:val="bullet"/>
      <w:lvlText w:val="•"/>
      <w:lvlJc w:val="left"/>
      <w:pPr>
        <w:tabs>
          <w:tab w:val="num" w:pos="6480"/>
        </w:tabs>
        <w:ind w:left="6480" w:hanging="360"/>
      </w:pPr>
      <w:rPr>
        <w:rFonts w:ascii="Arial" w:hAnsi="Arial" w:hint="default"/>
      </w:rPr>
    </w:lvl>
  </w:abstractNum>
  <w:abstractNum w:abstractNumId="2">
    <w:nsid w:val="0EA159AB"/>
    <w:multiLevelType w:val="multilevel"/>
    <w:tmpl w:val="823E1F2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D520C3"/>
    <w:multiLevelType w:val="hybridMultilevel"/>
    <w:tmpl w:val="B16AD9D2"/>
    <w:lvl w:ilvl="0" w:tplc="CD68CC78">
      <w:start w:val="1"/>
      <w:numFmt w:val="bullet"/>
      <w:pStyle w:val="Table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AE4022"/>
    <w:multiLevelType w:val="hybridMultilevel"/>
    <w:tmpl w:val="190AE69E"/>
    <w:lvl w:ilvl="0" w:tplc="D31C7FA4">
      <w:start w:val="1"/>
      <w:numFmt w:val="bullet"/>
      <w:pStyle w:val="Boxbullet1"/>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F82A0E"/>
    <w:multiLevelType w:val="hybridMultilevel"/>
    <w:tmpl w:val="127A3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352CCE"/>
    <w:multiLevelType w:val="multilevel"/>
    <w:tmpl w:val="66286D28"/>
    <w:lvl w:ilvl="0">
      <w:start w:val="1"/>
      <w:numFmt w:val="decimal"/>
      <w:lvlText w:val="%1."/>
      <w:lvlJc w:val="left"/>
      <w:pPr>
        <w:ind w:left="720" w:hanging="360"/>
      </w:pPr>
      <w:rPr>
        <w:rFonts w:hint="default"/>
        <w:b/>
      </w:rPr>
    </w:lvl>
    <w:lvl w:ilvl="1">
      <w:start w:val="1"/>
      <w:numFmt w:val="bullet"/>
      <w:lvlText w:val=""/>
      <w:lvlJc w:val="left"/>
      <w:pPr>
        <w:ind w:left="1440" w:hanging="360"/>
      </w:pPr>
      <w:rPr>
        <w:rFonts w:ascii="Symbol" w:hAnsi="Symbol" w:hint="default"/>
        <w:b/>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B851581"/>
    <w:multiLevelType w:val="multilevel"/>
    <w:tmpl w:val="D8142190"/>
    <w:lvl w:ilvl="0">
      <w:start w:val="1"/>
      <w:numFmt w:val="decimal"/>
      <w:pStyle w:val="Number1"/>
      <w:lvlText w:val="%1."/>
      <w:lvlJc w:val="left"/>
      <w:pPr>
        <w:ind w:left="720" w:hanging="360"/>
      </w:pPr>
      <w:rPr>
        <w:rFonts w:hint="default"/>
      </w:rPr>
    </w:lvl>
    <w:lvl w:ilvl="1">
      <w:start w:val="1"/>
      <w:numFmt w:val="lowerLetter"/>
      <w:pStyle w:val="Number2"/>
      <w:lvlText w:val="%2."/>
      <w:lvlJc w:val="left"/>
      <w:pPr>
        <w:ind w:left="1080" w:hanging="360"/>
      </w:pPr>
      <w:rPr>
        <w:rFonts w:hint="default"/>
      </w:rPr>
    </w:lvl>
    <w:lvl w:ilvl="2">
      <w:start w:val="1"/>
      <w:numFmt w:val="lowerRoman"/>
      <w:pStyle w:val="Number3"/>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nsid w:val="3F9F6A48"/>
    <w:multiLevelType w:val="multilevel"/>
    <w:tmpl w:val="9B62681E"/>
    <w:lvl w:ilvl="0">
      <w:start w:val="1"/>
      <w:numFmt w:val="bullet"/>
      <w:pStyle w:val="Bullet1"/>
      <w:lvlText w:val=""/>
      <w:lvlJc w:val="left"/>
      <w:pPr>
        <w:ind w:left="720" w:hanging="360"/>
      </w:pPr>
      <w:rPr>
        <w:rFonts w:ascii="Wingdings" w:hAnsi="Wingdings" w:hint="default"/>
      </w:rPr>
    </w:lvl>
    <w:lvl w:ilvl="1">
      <w:start w:val="1"/>
      <w:numFmt w:val="bullet"/>
      <w:pStyle w:val="Bullet2"/>
      <w:lvlText w:val="o"/>
      <w:lvlJc w:val="left"/>
      <w:pPr>
        <w:ind w:left="1440" w:hanging="360"/>
      </w:pPr>
      <w:rPr>
        <w:rFonts w:ascii="Courier New" w:hAnsi="Courier New" w:hint="default"/>
      </w:rPr>
    </w:lvl>
    <w:lvl w:ilvl="2">
      <w:start w:val="1"/>
      <w:numFmt w:val="bullet"/>
      <w:pStyle w:val="Bullet3"/>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7C7E62"/>
    <w:multiLevelType w:val="hybridMultilevel"/>
    <w:tmpl w:val="87AAEF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8E2ACC"/>
    <w:multiLevelType w:val="hybridMultilevel"/>
    <w:tmpl w:val="2CF07AF2"/>
    <w:lvl w:ilvl="0" w:tplc="027ED480">
      <w:start w:val="1"/>
      <w:numFmt w:val="bullet"/>
      <w:lvlText w:val="•"/>
      <w:lvlJc w:val="left"/>
      <w:pPr>
        <w:tabs>
          <w:tab w:val="num" w:pos="720"/>
        </w:tabs>
        <w:ind w:left="720" w:hanging="360"/>
      </w:pPr>
      <w:rPr>
        <w:rFonts w:ascii="Arial" w:hAnsi="Arial" w:hint="default"/>
      </w:rPr>
    </w:lvl>
    <w:lvl w:ilvl="1" w:tplc="E0886916" w:tentative="1">
      <w:start w:val="1"/>
      <w:numFmt w:val="bullet"/>
      <w:lvlText w:val="•"/>
      <w:lvlJc w:val="left"/>
      <w:pPr>
        <w:tabs>
          <w:tab w:val="num" w:pos="1440"/>
        </w:tabs>
        <w:ind w:left="1440" w:hanging="360"/>
      </w:pPr>
      <w:rPr>
        <w:rFonts w:ascii="Arial" w:hAnsi="Arial" w:hint="default"/>
      </w:rPr>
    </w:lvl>
    <w:lvl w:ilvl="2" w:tplc="CB6A4314" w:tentative="1">
      <w:start w:val="1"/>
      <w:numFmt w:val="bullet"/>
      <w:lvlText w:val="•"/>
      <w:lvlJc w:val="left"/>
      <w:pPr>
        <w:tabs>
          <w:tab w:val="num" w:pos="2160"/>
        </w:tabs>
        <w:ind w:left="2160" w:hanging="360"/>
      </w:pPr>
      <w:rPr>
        <w:rFonts w:ascii="Arial" w:hAnsi="Arial" w:hint="default"/>
      </w:rPr>
    </w:lvl>
    <w:lvl w:ilvl="3" w:tplc="A2D8C9E8" w:tentative="1">
      <w:start w:val="1"/>
      <w:numFmt w:val="bullet"/>
      <w:lvlText w:val="•"/>
      <w:lvlJc w:val="left"/>
      <w:pPr>
        <w:tabs>
          <w:tab w:val="num" w:pos="2880"/>
        </w:tabs>
        <w:ind w:left="2880" w:hanging="360"/>
      </w:pPr>
      <w:rPr>
        <w:rFonts w:ascii="Arial" w:hAnsi="Arial" w:hint="default"/>
      </w:rPr>
    </w:lvl>
    <w:lvl w:ilvl="4" w:tplc="42181F32" w:tentative="1">
      <w:start w:val="1"/>
      <w:numFmt w:val="bullet"/>
      <w:lvlText w:val="•"/>
      <w:lvlJc w:val="left"/>
      <w:pPr>
        <w:tabs>
          <w:tab w:val="num" w:pos="3600"/>
        </w:tabs>
        <w:ind w:left="3600" w:hanging="360"/>
      </w:pPr>
      <w:rPr>
        <w:rFonts w:ascii="Arial" w:hAnsi="Arial" w:hint="default"/>
      </w:rPr>
    </w:lvl>
    <w:lvl w:ilvl="5" w:tplc="02745C5C" w:tentative="1">
      <w:start w:val="1"/>
      <w:numFmt w:val="bullet"/>
      <w:lvlText w:val="•"/>
      <w:lvlJc w:val="left"/>
      <w:pPr>
        <w:tabs>
          <w:tab w:val="num" w:pos="4320"/>
        </w:tabs>
        <w:ind w:left="4320" w:hanging="360"/>
      </w:pPr>
      <w:rPr>
        <w:rFonts w:ascii="Arial" w:hAnsi="Arial" w:hint="default"/>
      </w:rPr>
    </w:lvl>
    <w:lvl w:ilvl="6" w:tplc="CC2C5576" w:tentative="1">
      <w:start w:val="1"/>
      <w:numFmt w:val="bullet"/>
      <w:lvlText w:val="•"/>
      <w:lvlJc w:val="left"/>
      <w:pPr>
        <w:tabs>
          <w:tab w:val="num" w:pos="5040"/>
        </w:tabs>
        <w:ind w:left="5040" w:hanging="360"/>
      </w:pPr>
      <w:rPr>
        <w:rFonts w:ascii="Arial" w:hAnsi="Arial" w:hint="default"/>
      </w:rPr>
    </w:lvl>
    <w:lvl w:ilvl="7" w:tplc="225A3E18" w:tentative="1">
      <w:start w:val="1"/>
      <w:numFmt w:val="bullet"/>
      <w:lvlText w:val="•"/>
      <w:lvlJc w:val="left"/>
      <w:pPr>
        <w:tabs>
          <w:tab w:val="num" w:pos="5760"/>
        </w:tabs>
        <w:ind w:left="5760" w:hanging="360"/>
      </w:pPr>
      <w:rPr>
        <w:rFonts w:ascii="Arial" w:hAnsi="Arial" w:hint="default"/>
      </w:rPr>
    </w:lvl>
    <w:lvl w:ilvl="8" w:tplc="A9EAE8F4" w:tentative="1">
      <w:start w:val="1"/>
      <w:numFmt w:val="bullet"/>
      <w:lvlText w:val="•"/>
      <w:lvlJc w:val="left"/>
      <w:pPr>
        <w:tabs>
          <w:tab w:val="num" w:pos="6480"/>
        </w:tabs>
        <w:ind w:left="6480" w:hanging="360"/>
      </w:pPr>
      <w:rPr>
        <w:rFonts w:ascii="Arial" w:hAnsi="Arial" w:hint="default"/>
      </w:rPr>
    </w:lvl>
  </w:abstractNum>
  <w:abstractNum w:abstractNumId="11">
    <w:nsid w:val="46B01C7E"/>
    <w:multiLevelType w:val="multilevel"/>
    <w:tmpl w:val="3CC0E44E"/>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nsid w:val="494A6F37"/>
    <w:multiLevelType w:val="hybridMultilevel"/>
    <w:tmpl w:val="BADA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D2433F"/>
    <w:multiLevelType w:val="hybridMultilevel"/>
    <w:tmpl w:val="0A8AAD0A"/>
    <w:lvl w:ilvl="0" w:tplc="C5BC7840">
      <w:start w:val="1"/>
      <w:numFmt w:val="bullet"/>
      <w:lvlText w:val="•"/>
      <w:lvlJc w:val="left"/>
      <w:pPr>
        <w:tabs>
          <w:tab w:val="num" w:pos="720"/>
        </w:tabs>
        <w:ind w:left="720" w:hanging="360"/>
      </w:pPr>
      <w:rPr>
        <w:rFonts w:ascii="Arial" w:hAnsi="Arial" w:hint="default"/>
      </w:rPr>
    </w:lvl>
    <w:lvl w:ilvl="1" w:tplc="BB0E9ECE">
      <w:start w:val="760"/>
      <w:numFmt w:val="bullet"/>
      <w:lvlText w:val="–"/>
      <w:lvlJc w:val="left"/>
      <w:pPr>
        <w:tabs>
          <w:tab w:val="num" w:pos="1440"/>
        </w:tabs>
        <w:ind w:left="1440" w:hanging="360"/>
      </w:pPr>
      <w:rPr>
        <w:rFonts w:ascii="Arial" w:hAnsi="Arial" w:hint="default"/>
      </w:rPr>
    </w:lvl>
    <w:lvl w:ilvl="2" w:tplc="EF9841D2" w:tentative="1">
      <w:start w:val="1"/>
      <w:numFmt w:val="bullet"/>
      <w:lvlText w:val="•"/>
      <w:lvlJc w:val="left"/>
      <w:pPr>
        <w:tabs>
          <w:tab w:val="num" w:pos="2160"/>
        </w:tabs>
        <w:ind w:left="2160" w:hanging="360"/>
      </w:pPr>
      <w:rPr>
        <w:rFonts w:ascii="Arial" w:hAnsi="Arial" w:hint="default"/>
      </w:rPr>
    </w:lvl>
    <w:lvl w:ilvl="3" w:tplc="718EE08E" w:tentative="1">
      <w:start w:val="1"/>
      <w:numFmt w:val="bullet"/>
      <w:lvlText w:val="•"/>
      <w:lvlJc w:val="left"/>
      <w:pPr>
        <w:tabs>
          <w:tab w:val="num" w:pos="2880"/>
        </w:tabs>
        <w:ind w:left="2880" w:hanging="360"/>
      </w:pPr>
      <w:rPr>
        <w:rFonts w:ascii="Arial" w:hAnsi="Arial" w:hint="default"/>
      </w:rPr>
    </w:lvl>
    <w:lvl w:ilvl="4" w:tplc="261C7EB4" w:tentative="1">
      <w:start w:val="1"/>
      <w:numFmt w:val="bullet"/>
      <w:lvlText w:val="•"/>
      <w:lvlJc w:val="left"/>
      <w:pPr>
        <w:tabs>
          <w:tab w:val="num" w:pos="3600"/>
        </w:tabs>
        <w:ind w:left="3600" w:hanging="360"/>
      </w:pPr>
      <w:rPr>
        <w:rFonts w:ascii="Arial" w:hAnsi="Arial" w:hint="default"/>
      </w:rPr>
    </w:lvl>
    <w:lvl w:ilvl="5" w:tplc="1C66FA8E" w:tentative="1">
      <w:start w:val="1"/>
      <w:numFmt w:val="bullet"/>
      <w:lvlText w:val="•"/>
      <w:lvlJc w:val="left"/>
      <w:pPr>
        <w:tabs>
          <w:tab w:val="num" w:pos="4320"/>
        </w:tabs>
        <w:ind w:left="4320" w:hanging="360"/>
      </w:pPr>
      <w:rPr>
        <w:rFonts w:ascii="Arial" w:hAnsi="Arial" w:hint="default"/>
      </w:rPr>
    </w:lvl>
    <w:lvl w:ilvl="6" w:tplc="9C04E386" w:tentative="1">
      <w:start w:val="1"/>
      <w:numFmt w:val="bullet"/>
      <w:lvlText w:val="•"/>
      <w:lvlJc w:val="left"/>
      <w:pPr>
        <w:tabs>
          <w:tab w:val="num" w:pos="5040"/>
        </w:tabs>
        <w:ind w:left="5040" w:hanging="360"/>
      </w:pPr>
      <w:rPr>
        <w:rFonts w:ascii="Arial" w:hAnsi="Arial" w:hint="default"/>
      </w:rPr>
    </w:lvl>
    <w:lvl w:ilvl="7" w:tplc="42424804" w:tentative="1">
      <w:start w:val="1"/>
      <w:numFmt w:val="bullet"/>
      <w:lvlText w:val="•"/>
      <w:lvlJc w:val="left"/>
      <w:pPr>
        <w:tabs>
          <w:tab w:val="num" w:pos="5760"/>
        </w:tabs>
        <w:ind w:left="5760" w:hanging="360"/>
      </w:pPr>
      <w:rPr>
        <w:rFonts w:ascii="Arial" w:hAnsi="Arial" w:hint="default"/>
      </w:rPr>
    </w:lvl>
    <w:lvl w:ilvl="8" w:tplc="23C8085C" w:tentative="1">
      <w:start w:val="1"/>
      <w:numFmt w:val="bullet"/>
      <w:lvlText w:val="•"/>
      <w:lvlJc w:val="left"/>
      <w:pPr>
        <w:tabs>
          <w:tab w:val="num" w:pos="6480"/>
        </w:tabs>
        <w:ind w:left="6480" w:hanging="360"/>
      </w:pPr>
      <w:rPr>
        <w:rFonts w:ascii="Arial" w:hAnsi="Arial" w:hint="default"/>
      </w:rPr>
    </w:lvl>
  </w:abstractNum>
  <w:abstractNum w:abstractNumId="14">
    <w:nsid w:val="581A20FD"/>
    <w:multiLevelType w:val="hybridMultilevel"/>
    <w:tmpl w:val="6CFA14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E72653"/>
    <w:multiLevelType w:val="hybridMultilevel"/>
    <w:tmpl w:val="F5E6144E"/>
    <w:lvl w:ilvl="0" w:tplc="000F0409">
      <w:start w:val="1"/>
      <w:numFmt w:val="upperRoman"/>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nsid w:val="5C806C0F"/>
    <w:multiLevelType w:val="multilevel"/>
    <w:tmpl w:val="99C46BB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D792228"/>
    <w:multiLevelType w:val="hybridMultilevel"/>
    <w:tmpl w:val="EB060B8A"/>
    <w:lvl w:ilvl="0" w:tplc="30EEA510">
      <w:start w:val="1"/>
      <w:numFmt w:val="bullet"/>
      <w:pStyle w:val="BoxBullet10"/>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411324"/>
    <w:multiLevelType w:val="hybridMultilevel"/>
    <w:tmpl w:val="6CFA14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D32A0"/>
    <w:multiLevelType w:val="hybridMultilevel"/>
    <w:tmpl w:val="D962351E"/>
    <w:lvl w:ilvl="0" w:tplc="47722C62">
      <w:start w:val="1"/>
      <w:numFmt w:val="bullet"/>
      <w:lvlText w:val="•"/>
      <w:lvlJc w:val="left"/>
      <w:pPr>
        <w:tabs>
          <w:tab w:val="num" w:pos="720"/>
        </w:tabs>
        <w:ind w:left="720" w:hanging="360"/>
      </w:pPr>
      <w:rPr>
        <w:rFonts w:ascii="Arial" w:hAnsi="Arial" w:hint="default"/>
      </w:rPr>
    </w:lvl>
    <w:lvl w:ilvl="1" w:tplc="246CC060" w:tentative="1">
      <w:start w:val="1"/>
      <w:numFmt w:val="bullet"/>
      <w:lvlText w:val="•"/>
      <w:lvlJc w:val="left"/>
      <w:pPr>
        <w:tabs>
          <w:tab w:val="num" w:pos="1440"/>
        </w:tabs>
        <w:ind w:left="1440" w:hanging="360"/>
      </w:pPr>
      <w:rPr>
        <w:rFonts w:ascii="Arial" w:hAnsi="Arial" w:hint="default"/>
      </w:rPr>
    </w:lvl>
    <w:lvl w:ilvl="2" w:tplc="A6D249F8" w:tentative="1">
      <w:start w:val="1"/>
      <w:numFmt w:val="bullet"/>
      <w:lvlText w:val="•"/>
      <w:lvlJc w:val="left"/>
      <w:pPr>
        <w:tabs>
          <w:tab w:val="num" w:pos="2160"/>
        </w:tabs>
        <w:ind w:left="2160" w:hanging="360"/>
      </w:pPr>
      <w:rPr>
        <w:rFonts w:ascii="Arial" w:hAnsi="Arial" w:hint="default"/>
      </w:rPr>
    </w:lvl>
    <w:lvl w:ilvl="3" w:tplc="22987B9E" w:tentative="1">
      <w:start w:val="1"/>
      <w:numFmt w:val="bullet"/>
      <w:lvlText w:val="•"/>
      <w:lvlJc w:val="left"/>
      <w:pPr>
        <w:tabs>
          <w:tab w:val="num" w:pos="2880"/>
        </w:tabs>
        <w:ind w:left="2880" w:hanging="360"/>
      </w:pPr>
      <w:rPr>
        <w:rFonts w:ascii="Arial" w:hAnsi="Arial" w:hint="default"/>
      </w:rPr>
    </w:lvl>
    <w:lvl w:ilvl="4" w:tplc="C8202130" w:tentative="1">
      <w:start w:val="1"/>
      <w:numFmt w:val="bullet"/>
      <w:lvlText w:val="•"/>
      <w:lvlJc w:val="left"/>
      <w:pPr>
        <w:tabs>
          <w:tab w:val="num" w:pos="3600"/>
        </w:tabs>
        <w:ind w:left="3600" w:hanging="360"/>
      </w:pPr>
      <w:rPr>
        <w:rFonts w:ascii="Arial" w:hAnsi="Arial" w:hint="default"/>
      </w:rPr>
    </w:lvl>
    <w:lvl w:ilvl="5" w:tplc="ACEC8F92" w:tentative="1">
      <w:start w:val="1"/>
      <w:numFmt w:val="bullet"/>
      <w:lvlText w:val="•"/>
      <w:lvlJc w:val="left"/>
      <w:pPr>
        <w:tabs>
          <w:tab w:val="num" w:pos="4320"/>
        </w:tabs>
        <w:ind w:left="4320" w:hanging="360"/>
      </w:pPr>
      <w:rPr>
        <w:rFonts w:ascii="Arial" w:hAnsi="Arial" w:hint="default"/>
      </w:rPr>
    </w:lvl>
    <w:lvl w:ilvl="6" w:tplc="74FC5BDA" w:tentative="1">
      <w:start w:val="1"/>
      <w:numFmt w:val="bullet"/>
      <w:lvlText w:val="•"/>
      <w:lvlJc w:val="left"/>
      <w:pPr>
        <w:tabs>
          <w:tab w:val="num" w:pos="5040"/>
        </w:tabs>
        <w:ind w:left="5040" w:hanging="360"/>
      </w:pPr>
      <w:rPr>
        <w:rFonts w:ascii="Arial" w:hAnsi="Arial" w:hint="default"/>
      </w:rPr>
    </w:lvl>
    <w:lvl w:ilvl="7" w:tplc="505065EE" w:tentative="1">
      <w:start w:val="1"/>
      <w:numFmt w:val="bullet"/>
      <w:lvlText w:val="•"/>
      <w:lvlJc w:val="left"/>
      <w:pPr>
        <w:tabs>
          <w:tab w:val="num" w:pos="5760"/>
        </w:tabs>
        <w:ind w:left="5760" w:hanging="360"/>
      </w:pPr>
      <w:rPr>
        <w:rFonts w:ascii="Arial" w:hAnsi="Arial" w:hint="default"/>
      </w:rPr>
    </w:lvl>
    <w:lvl w:ilvl="8" w:tplc="D2A2414E" w:tentative="1">
      <w:start w:val="1"/>
      <w:numFmt w:val="bullet"/>
      <w:lvlText w:val="•"/>
      <w:lvlJc w:val="left"/>
      <w:pPr>
        <w:tabs>
          <w:tab w:val="num" w:pos="6480"/>
        </w:tabs>
        <w:ind w:left="6480" w:hanging="360"/>
      </w:pPr>
      <w:rPr>
        <w:rFonts w:ascii="Arial" w:hAnsi="Arial" w:hint="default"/>
      </w:rPr>
    </w:lvl>
  </w:abstractNum>
  <w:abstractNum w:abstractNumId="20">
    <w:nsid w:val="6D7859F1"/>
    <w:multiLevelType w:val="hybridMultilevel"/>
    <w:tmpl w:val="EF1E06C0"/>
    <w:lvl w:ilvl="0" w:tplc="67524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33239C"/>
    <w:multiLevelType w:val="hybridMultilevel"/>
    <w:tmpl w:val="59BC18E6"/>
    <w:lvl w:ilvl="0" w:tplc="A9302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374331"/>
    <w:multiLevelType w:val="multilevel"/>
    <w:tmpl w:val="D9CCFAC4"/>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17"/>
  </w:num>
  <w:num w:numId="2">
    <w:abstractNumId w:val="0"/>
  </w:num>
  <w:num w:numId="3">
    <w:abstractNumId w:val="21"/>
  </w:num>
  <w:num w:numId="4">
    <w:abstractNumId w:val="16"/>
  </w:num>
  <w:num w:numId="5">
    <w:abstractNumId w:val="8"/>
  </w:num>
  <w:num w:numId="6">
    <w:abstractNumId w:val="4"/>
  </w:num>
  <w:num w:numId="7">
    <w:abstractNumId w:val="20"/>
  </w:num>
  <w:num w:numId="8">
    <w:abstractNumId w:val="7"/>
  </w:num>
  <w:num w:numId="9">
    <w:abstractNumId w:val="2"/>
  </w:num>
  <w:num w:numId="10">
    <w:abstractNumId w:val="11"/>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4"/>
  </w:num>
  <w:num w:numId="16">
    <w:abstractNumId w:val="12"/>
  </w:num>
  <w:num w:numId="17">
    <w:abstractNumId w:val="1"/>
  </w:num>
  <w:num w:numId="18">
    <w:abstractNumId w:val="19"/>
  </w:num>
  <w:num w:numId="19">
    <w:abstractNumId w:val="13"/>
  </w:num>
  <w:num w:numId="20">
    <w:abstractNumId w:val="10"/>
  </w:num>
  <w:num w:numId="21">
    <w:abstractNumId w:val="18"/>
  </w:num>
  <w:num w:numId="22">
    <w:abstractNumId w:val="15"/>
  </w:num>
  <w:num w:numId="23">
    <w:abstractNumId w:val="2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94F"/>
    <w:rsid w:val="00000B29"/>
    <w:rsid w:val="00003BE0"/>
    <w:rsid w:val="00004D23"/>
    <w:rsid w:val="000112BB"/>
    <w:rsid w:val="000327B8"/>
    <w:rsid w:val="00044342"/>
    <w:rsid w:val="000654CC"/>
    <w:rsid w:val="000951EA"/>
    <w:rsid w:val="000A226B"/>
    <w:rsid w:val="000C6B2E"/>
    <w:rsid w:val="000F55C9"/>
    <w:rsid w:val="00103B1F"/>
    <w:rsid w:val="00115F70"/>
    <w:rsid w:val="001512D8"/>
    <w:rsid w:val="00187206"/>
    <w:rsid w:val="00191262"/>
    <w:rsid w:val="001C3F9F"/>
    <w:rsid w:val="001C6B91"/>
    <w:rsid w:val="001C758E"/>
    <w:rsid w:val="001F1B6E"/>
    <w:rsid w:val="001F7672"/>
    <w:rsid w:val="002005A4"/>
    <w:rsid w:val="00201D8B"/>
    <w:rsid w:val="0022290B"/>
    <w:rsid w:val="0025194F"/>
    <w:rsid w:val="00254920"/>
    <w:rsid w:val="00263BDD"/>
    <w:rsid w:val="00267F24"/>
    <w:rsid w:val="0028209A"/>
    <w:rsid w:val="00282E69"/>
    <w:rsid w:val="002C1575"/>
    <w:rsid w:val="002D58B2"/>
    <w:rsid w:val="00302700"/>
    <w:rsid w:val="0031001C"/>
    <w:rsid w:val="00312286"/>
    <w:rsid w:val="0032377D"/>
    <w:rsid w:val="00324174"/>
    <w:rsid w:val="00342979"/>
    <w:rsid w:val="00361F90"/>
    <w:rsid w:val="003637FD"/>
    <w:rsid w:val="00370FC1"/>
    <w:rsid w:val="00383B45"/>
    <w:rsid w:val="00386BBD"/>
    <w:rsid w:val="00396D72"/>
    <w:rsid w:val="003B38E1"/>
    <w:rsid w:val="003B3BC9"/>
    <w:rsid w:val="003B4760"/>
    <w:rsid w:val="003D584E"/>
    <w:rsid w:val="003D7A61"/>
    <w:rsid w:val="004018D7"/>
    <w:rsid w:val="004371BE"/>
    <w:rsid w:val="00440441"/>
    <w:rsid w:val="00445E71"/>
    <w:rsid w:val="0048607D"/>
    <w:rsid w:val="004900E7"/>
    <w:rsid w:val="004961F9"/>
    <w:rsid w:val="004B1A5B"/>
    <w:rsid w:val="004C6AAC"/>
    <w:rsid w:val="004C6B78"/>
    <w:rsid w:val="004E51F6"/>
    <w:rsid w:val="00514072"/>
    <w:rsid w:val="00541486"/>
    <w:rsid w:val="00543E2B"/>
    <w:rsid w:val="0056211E"/>
    <w:rsid w:val="00567040"/>
    <w:rsid w:val="005674C2"/>
    <w:rsid w:val="00591CA8"/>
    <w:rsid w:val="005B13B2"/>
    <w:rsid w:val="005B3A48"/>
    <w:rsid w:val="005C1A71"/>
    <w:rsid w:val="005E2F6E"/>
    <w:rsid w:val="005E602D"/>
    <w:rsid w:val="005F171E"/>
    <w:rsid w:val="00600AB6"/>
    <w:rsid w:val="00604905"/>
    <w:rsid w:val="00630F20"/>
    <w:rsid w:val="00665634"/>
    <w:rsid w:val="006A389F"/>
    <w:rsid w:val="006A52FD"/>
    <w:rsid w:val="006B1389"/>
    <w:rsid w:val="006D584F"/>
    <w:rsid w:val="006E600B"/>
    <w:rsid w:val="007109E3"/>
    <w:rsid w:val="00710F6A"/>
    <w:rsid w:val="007134F3"/>
    <w:rsid w:val="00720E44"/>
    <w:rsid w:val="00722D28"/>
    <w:rsid w:val="007303C6"/>
    <w:rsid w:val="00733D39"/>
    <w:rsid w:val="00735EAF"/>
    <w:rsid w:val="00741F22"/>
    <w:rsid w:val="0076406B"/>
    <w:rsid w:val="00774A46"/>
    <w:rsid w:val="00791ED6"/>
    <w:rsid w:val="0079400F"/>
    <w:rsid w:val="00794E00"/>
    <w:rsid w:val="007958F5"/>
    <w:rsid w:val="007A250A"/>
    <w:rsid w:val="007A6576"/>
    <w:rsid w:val="007B5055"/>
    <w:rsid w:val="007F392E"/>
    <w:rsid w:val="00811E51"/>
    <w:rsid w:val="008165F9"/>
    <w:rsid w:val="00836DBE"/>
    <w:rsid w:val="008735E4"/>
    <w:rsid w:val="0087641C"/>
    <w:rsid w:val="00881732"/>
    <w:rsid w:val="00881CAC"/>
    <w:rsid w:val="008863A1"/>
    <w:rsid w:val="008A1BE1"/>
    <w:rsid w:val="008A4688"/>
    <w:rsid w:val="008C294F"/>
    <w:rsid w:val="008C753E"/>
    <w:rsid w:val="008D38E7"/>
    <w:rsid w:val="008E3374"/>
    <w:rsid w:val="00902B8F"/>
    <w:rsid w:val="00910404"/>
    <w:rsid w:val="0095446D"/>
    <w:rsid w:val="009549BA"/>
    <w:rsid w:val="00975B66"/>
    <w:rsid w:val="00980CC1"/>
    <w:rsid w:val="0098441A"/>
    <w:rsid w:val="009A254E"/>
    <w:rsid w:val="009A7E6F"/>
    <w:rsid w:val="009C12BF"/>
    <w:rsid w:val="009C2105"/>
    <w:rsid w:val="00A02DE3"/>
    <w:rsid w:val="00A2224B"/>
    <w:rsid w:val="00A22AC5"/>
    <w:rsid w:val="00A3217D"/>
    <w:rsid w:val="00A34DD6"/>
    <w:rsid w:val="00A57207"/>
    <w:rsid w:val="00A6490E"/>
    <w:rsid w:val="00AC74D9"/>
    <w:rsid w:val="00AD2DE8"/>
    <w:rsid w:val="00AF2349"/>
    <w:rsid w:val="00AF3E50"/>
    <w:rsid w:val="00B11A92"/>
    <w:rsid w:val="00B24CB7"/>
    <w:rsid w:val="00B44FFF"/>
    <w:rsid w:val="00B46EE2"/>
    <w:rsid w:val="00B73C20"/>
    <w:rsid w:val="00B8024C"/>
    <w:rsid w:val="00B80BDA"/>
    <w:rsid w:val="00BA7C90"/>
    <w:rsid w:val="00BB5448"/>
    <w:rsid w:val="00BC5BB9"/>
    <w:rsid w:val="00BD30EB"/>
    <w:rsid w:val="00BF6ED6"/>
    <w:rsid w:val="00C13292"/>
    <w:rsid w:val="00C21327"/>
    <w:rsid w:val="00C41D1E"/>
    <w:rsid w:val="00C64AEB"/>
    <w:rsid w:val="00C65666"/>
    <w:rsid w:val="00C947FD"/>
    <w:rsid w:val="00CB30AA"/>
    <w:rsid w:val="00CB78F4"/>
    <w:rsid w:val="00CD26E5"/>
    <w:rsid w:val="00CE2DE8"/>
    <w:rsid w:val="00D2015F"/>
    <w:rsid w:val="00D227CA"/>
    <w:rsid w:val="00D22A71"/>
    <w:rsid w:val="00D22B42"/>
    <w:rsid w:val="00D37BA6"/>
    <w:rsid w:val="00D40F76"/>
    <w:rsid w:val="00D4365A"/>
    <w:rsid w:val="00D65DA6"/>
    <w:rsid w:val="00D85BEE"/>
    <w:rsid w:val="00D878FD"/>
    <w:rsid w:val="00DE0B10"/>
    <w:rsid w:val="00DE5984"/>
    <w:rsid w:val="00DF5545"/>
    <w:rsid w:val="00E059F3"/>
    <w:rsid w:val="00E10A3B"/>
    <w:rsid w:val="00E562B0"/>
    <w:rsid w:val="00E565B8"/>
    <w:rsid w:val="00E74DFD"/>
    <w:rsid w:val="00E803D7"/>
    <w:rsid w:val="00E9084D"/>
    <w:rsid w:val="00EB237A"/>
    <w:rsid w:val="00EC133B"/>
    <w:rsid w:val="00EC206C"/>
    <w:rsid w:val="00EC48D1"/>
    <w:rsid w:val="00ED1C50"/>
    <w:rsid w:val="00F14643"/>
    <w:rsid w:val="00F37155"/>
    <w:rsid w:val="00F77AD2"/>
    <w:rsid w:val="00FE7B3E"/>
    <w:rsid w:val="00FF4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44FFF"/>
    <w:pPr>
      <w:spacing w:after="120"/>
    </w:pPr>
    <w:rPr>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
    <w:unhideWhenUsed/>
    <w:qFormat/>
    <w:rsid w:val="008735E4"/>
    <w:pPr>
      <w:keepNext/>
      <w:keepLines/>
      <w:spacing w:before="180" w:after="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
    <w:unhideWhenUsed/>
    <w:qFormat/>
    <w:rsid w:val="008735E4"/>
    <w:pPr>
      <w:keepNext/>
      <w:keepLines/>
      <w:spacing w:before="24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8735E4"/>
    <w:pPr>
      <w:keepNext/>
      <w:keepLines/>
      <w:spacing w:before="200" w:after="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rsid w:val="00445E71"/>
    <w:pPr>
      <w:keepNext/>
      <w:keepLines/>
      <w:numPr>
        <w:ilvl w:val="4"/>
        <w:numId w:val="10"/>
      </w:numPr>
      <w:spacing w:before="200"/>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semiHidden/>
    <w:unhideWhenUsed/>
    <w:rsid w:val="00445E71"/>
    <w:pPr>
      <w:keepNext/>
      <w:keepLines/>
      <w:numPr>
        <w:ilvl w:val="5"/>
        <w:numId w:val="10"/>
      </w:numPr>
      <w:spacing w:before="200"/>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semiHidden/>
    <w:unhideWhenUsed/>
    <w:qFormat/>
    <w:rsid w:val="00445E71"/>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5E71"/>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5E71"/>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iPriority w:val="99"/>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basedOn w:val="Normal"/>
    <w:link w:val="ListParagraphChar"/>
    <w:uiPriority w:val="34"/>
    <w:qFormat/>
    <w:rsid w:val="001512D8"/>
    <w:pPr>
      <w:ind w:left="720"/>
      <w:contextualSpacing/>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basedOn w:val="DefaultParagraphFont"/>
    <w:link w:val="ListParagraph"/>
    <w:uiPriority w:val="34"/>
    <w:rsid w:val="001512D8"/>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
    <w:rsid w:val="008735E4"/>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
    <w:rsid w:val="008735E4"/>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8735E4"/>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rPr>
  </w:style>
  <w:style w:type="character" w:customStyle="1" w:styleId="Heading6Char">
    <w:name w:val="Heading 6 Char"/>
    <w:basedOn w:val="DefaultParagraphFont"/>
    <w:link w:val="Heading6"/>
    <w:uiPriority w:val="9"/>
    <w:semiHidden/>
    <w:rsid w:val="00445E71"/>
    <w:rPr>
      <w:rFonts w:asciiTheme="majorHAnsi" w:eastAsiaTheme="majorEastAsia" w:hAnsiTheme="majorHAnsi" w:cstheme="majorBidi"/>
      <w:i/>
      <w:iCs/>
      <w:color w:val="00173F" w:themeColor="accent1" w:themeShade="7F"/>
    </w:rPr>
  </w:style>
  <w:style w:type="character" w:customStyle="1" w:styleId="Heading7Char">
    <w:name w:val="Heading 7 Char"/>
    <w:basedOn w:val="DefaultParagraphFont"/>
    <w:link w:val="Heading7"/>
    <w:uiPriority w:val="9"/>
    <w:semiHidden/>
    <w:rsid w:val="00445E7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5"/>
      </w:numPr>
      <w:contextualSpacing w:val="0"/>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sz w:val="24"/>
    </w:rPr>
  </w:style>
  <w:style w:type="character" w:customStyle="1" w:styleId="Bullet3Char">
    <w:name w:val="Bullet 3 Char"/>
    <w:basedOn w:val="Bullet2Char"/>
    <w:link w:val="Bullet3"/>
    <w:rsid w:val="00103B1F"/>
    <w:rPr>
      <w:sz w:val="24"/>
    </w:rPr>
  </w:style>
  <w:style w:type="paragraph" w:styleId="NoSpacing">
    <w:name w:val="No Spacing"/>
    <w:link w:val="NoSpacingChar"/>
    <w:uiPriority w:val="99"/>
    <w:rsid w:val="00881CAC"/>
    <w:pPr>
      <w:spacing w:after="0"/>
    </w:pPr>
    <w:rPr>
      <w:rFonts w:ascii="Times New Roman" w:eastAsia="Times New Roman" w:hAnsi="Times New Roman" w:cs="Times New Roman"/>
      <w:sz w:val="24"/>
      <w:szCs w:val="24"/>
    </w:rPr>
  </w:style>
  <w:style w:type="paragraph" w:styleId="Caption">
    <w:name w:val="caption"/>
    <w:basedOn w:val="Normal"/>
    <w:next w:val="Normal"/>
    <w:link w:val="CaptionChar"/>
    <w:uiPriority w:val="35"/>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rsid w:val="00C41D1E"/>
    <w:pPr>
      <w:spacing w:after="100"/>
    </w:pPr>
  </w:style>
  <w:style w:type="paragraph" w:styleId="TOC2">
    <w:name w:val="toc 2"/>
    <w:basedOn w:val="Normal"/>
    <w:next w:val="Normal"/>
    <w:autoRedefine/>
    <w:uiPriority w:val="39"/>
    <w:unhideWhenUsed/>
    <w:rsid w:val="00C41D1E"/>
    <w:pPr>
      <w:spacing w:after="100"/>
      <w:ind w:left="220"/>
    </w:pPr>
  </w:style>
  <w:style w:type="paragraph" w:styleId="TOC3">
    <w:name w:val="toc 3"/>
    <w:basedOn w:val="Normal"/>
    <w:next w:val="Normal"/>
    <w:autoRedefine/>
    <w:uiPriority w:val="39"/>
    <w:unhideWhenUsed/>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6"/>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13"/>
      </w:numPr>
      <w:spacing w:after="60"/>
      <w:ind w:left="216" w:hanging="216"/>
      <w:contextualSpacing w:val="0"/>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8"/>
      </w:numPr>
      <w:contextualSpacing w:val="0"/>
    </w:pPr>
  </w:style>
  <w:style w:type="paragraph" w:customStyle="1" w:styleId="Number2">
    <w:name w:val="Number 2"/>
    <w:basedOn w:val="ListParagraph"/>
    <w:link w:val="Number2Char"/>
    <w:qFormat/>
    <w:rsid w:val="00C65666"/>
    <w:pPr>
      <w:numPr>
        <w:ilvl w:val="1"/>
        <w:numId w:val="8"/>
      </w:numPr>
    </w:pPr>
  </w:style>
  <w:style w:type="character" w:customStyle="1" w:styleId="Number1Char">
    <w:name w:val="Number 1 Char"/>
    <w:basedOn w:val="ListParagraphChar"/>
    <w:link w:val="Number1"/>
    <w:rsid w:val="00C65666"/>
    <w:rPr>
      <w:sz w:val="24"/>
    </w:rPr>
  </w:style>
  <w:style w:type="paragraph" w:customStyle="1" w:styleId="Number3">
    <w:name w:val="Number 3"/>
    <w:basedOn w:val="ListParagraph"/>
    <w:link w:val="Number3Char"/>
    <w:qFormat/>
    <w:rsid w:val="00BB5448"/>
    <w:pPr>
      <w:numPr>
        <w:ilvl w:val="2"/>
        <w:numId w:val="8"/>
      </w:numPr>
    </w:pPr>
  </w:style>
  <w:style w:type="character" w:customStyle="1" w:styleId="Number2Char">
    <w:name w:val="Number 2 Char"/>
    <w:basedOn w:val="ListParagraphChar"/>
    <w:link w:val="Number2"/>
    <w:rsid w:val="00C65666"/>
    <w:rPr>
      <w:sz w:val="24"/>
    </w:rPr>
  </w:style>
  <w:style w:type="character" w:customStyle="1" w:styleId="Number3Char">
    <w:name w:val="Number 3 Char"/>
    <w:basedOn w:val="ListParagraphChar"/>
    <w:link w:val="Number3"/>
    <w:rsid w:val="00BB5448"/>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styleId="FootnoteText">
    <w:name w:val="footnote text"/>
    <w:aliases w:val="rFootnote Text"/>
    <w:basedOn w:val="Normal"/>
    <w:link w:val="FootnoteTextChar"/>
    <w:uiPriority w:val="99"/>
    <w:unhideWhenUsed/>
    <w:qFormat/>
    <w:rsid w:val="008C294F"/>
    <w:pPr>
      <w:spacing w:after="0"/>
    </w:pPr>
    <w:rPr>
      <w:sz w:val="20"/>
      <w:szCs w:val="20"/>
    </w:rPr>
  </w:style>
  <w:style w:type="character" w:customStyle="1" w:styleId="FootnoteTextChar">
    <w:name w:val="Footnote Text Char"/>
    <w:aliases w:val="rFootnote Text Char"/>
    <w:basedOn w:val="DefaultParagraphFont"/>
    <w:link w:val="FootnoteText"/>
    <w:uiPriority w:val="99"/>
    <w:rsid w:val="008C294F"/>
    <w:rPr>
      <w:sz w:val="20"/>
      <w:szCs w:val="20"/>
    </w:rPr>
  </w:style>
  <w:style w:type="character" w:styleId="FootnoteReference">
    <w:name w:val="footnote reference"/>
    <w:aliases w:val="rFootnote Reference"/>
    <w:basedOn w:val="DefaultParagraphFont"/>
    <w:uiPriority w:val="99"/>
    <w:unhideWhenUsed/>
    <w:rsid w:val="008C294F"/>
    <w:rPr>
      <w:vertAlign w:val="superscript"/>
    </w:rPr>
  </w:style>
  <w:style w:type="character" w:styleId="CommentReference">
    <w:name w:val="annotation reference"/>
    <w:basedOn w:val="DefaultParagraphFont"/>
    <w:uiPriority w:val="99"/>
    <w:semiHidden/>
    <w:unhideWhenUsed/>
    <w:rsid w:val="008C294F"/>
    <w:rPr>
      <w:sz w:val="16"/>
      <w:szCs w:val="16"/>
    </w:rPr>
  </w:style>
  <w:style w:type="paragraph" w:styleId="CommentText">
    <w:name w:val="annotation text"/>
    <w:basedOn w:val="Normal"/>
    <w:link w:val="CommentTextChar"/>
    <w:uiPriority w:val="99"/>
    <w:semiHidden/>
    <w:unhideWhenUsed/>
    <w:rsid w:val="008C294F"/>
    <w:pPr>
      <w:spacing w:after="200"/>
    </w:pPr>
    <w:rPr>
      <w:sz w:val="20"/>
      <w:szCs w:val="20"/>
    </w:rPr>
  </w:style>
  <w:style w:type="character" w:customStyle="1" w:styleId="CommentTextChar">
    <w:name w:val="Comment Text Char"/>
    <w:basedOn w:val="DefaultParagraphFont"/>
    <w:link w:val="CommentText"/>
    <w:uiPriority w:val="99"/>
    <w:semiHidden/>
    <w:rsid w:val="008C294F"/>
    <w:rPr>
      <w:sz w:val="20"/>
      <w:szCs w:val="20"/>
    </w:rPr>
  </w:style>
  <w:style w:type="paragraph" w:styleId="CommentSubject">
    <w:name w:val="annotation subject"/>
    <w:basedOn w:val="CommentText"/>
    <w:next w:val="CommentText"/>
    <w:link w:val="CommentSubjectChar"/>
    <w:uiPriority w:val="99"/>
    <w:semiHidden/>
    <w:unhideWhenUsed/>
    <w:rsid w:val="008E3374"/>
    <w:pPr>
      <w:spacing w:after="120"/>
    </w:pPr>
    <w:rPr>
      <w:b/>
      <w:bCs/>
    </w:rPr>
  </w:style>
  <w:style w:type="character" w:customStyle="1" w:styleId="CommentSubjectChar">
    <w:name w:val="Comment Subject Char"/>
    <w:basedOn w:val="CommentTextChar"/>
    <w:link w:val="CommentSubject"/>
    <w:uiPriority w:val="99"/>
    <w:semiHidden/>
    <w:rsid w:val="008E3374"/>
    <w:rPr>
      <w:b/>
      <w:bCs/>
      <w:sz w:val="20"/>
      <w:szCs w:val="20"/>
    </w:rPr>
  </w:style>
  <w:style w:type="paragraph" w:styleId="Revision">
    <w:name w:val="Revision"/>
    <w:hidden/>
    <w:uiPriority w:val="99"/>
    <w:semiHidden/>
    <w:rsid w:val="008E3374"/>
    <w:pPr>
      <w:spacing w:after="0"/>
    </w:pPr>
    <w:rPr>
      <w:sz w:val="24"/>
    </w:rPr>
  </w:style>
  <w:style w:type="paragraph" w:styleId="NormalWeb">
    <w:name w:val="Normal (Web)"/>
    <w:basedOn w:val="Normal"/>
    <w:uiPriority w:val="99"/>
    <w:semiHidden/>
    <w:unhideWhenUsed/>
    <w:rsid w:val="00E562B0"/>
    <w:pPr>
      <w:spacing w:before="100" w:beforeAutospacing="1" w:after="100" w:afterAutospacing="1"/>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44FFF"/>
    <w:pPr>
      <w:spacing w:after="120"/>
    </w:pPr>
    <w:rPr>
      <w:sz w:val="24"/>
    </w:rPr>
  </w:style>
  <w:style w:type="paragraph" w:styleId="Heading1">
    <w:name w:val="heading 1"/>
    <w:basedOn w:val="Normal"/>
    <w:next w:val="Normal"/>
    <w:link w:val="Heading1Char"/>
    <w:uiPriority w:val="9"/>
    <w:qFormat/>
    <w:rsid w:val="008735E4"/>
    <w:pPr>
      <w:keepNext/>
      <w:keepLines/>
      <w:spacing w:before="360" w:after="0"/>
      <w:outlineLvl w:val="0"/>
    </w:pPr>
    <w:rPr>
      <w:rFonts w:asciiTheme="majorHAnsi" w:eastAsiaTheme="majorEastAsia" w:hAnsiTheme="majorHAnsi" w:cstheme="majorBidi"/>
      <w:b/>
      <w:bCs/>
      <w:color w:val="002F80" w:themeColor="text2"/>
      <w:sz w:val="28"/>
      <w:szCs w:val="28"/>
    </w:rPr>
  </w:style>
  <w:style w:type="paragraph" w:styleId="Heading2">
    <w:name w:val="heading 2"/>
    <w:basedOn w:val="Normal"/>
    <w:next w:val="Normal"/>
    <w:link w:val="Heading2Char"/>
    <w:uiPriority w:val="9"/>
    <w:unhideWhenUsed/>
    <w:qFormat/>
    <w:rsid w:val="008735E4"/>
    <w:pPr>
      <w:keepNext/>
      <w:keepLines/>
      <w:spacing w:before="180" w:after="0"/>
      <w:ind w:left="576" w:hanging="576"/>
      <w:outlineLvl w:val="1"/>
    </w:pPr>
    <w:rPr>
      <w:rFonts w:asciiTheme="majorHAnsi" w:eastAsiaTheme="majorEastAsia" w:hAnsiTheme="majorHAnsi" w:cstheme="majorBidi"/>
      <w:bCs/>
      <w:i/>
      <w:color w:val="002F80" w:themeColor="text2"/>
      <w:sz w:val="28"/>
      <w:szCs w:val="26"/>
    </w:rPr>
  </w:style>
  <w:style w:type="paragraph" w:styleId="Heading3">
    <w:name w:val="heading 3"/>
    <w:basedOn w:val="Normal"/>
    <w:next w:val="Normal"/>
    <w:link w:val="Heading3Char"/>
    <w:uiPriority w:val="9"/>
    <w:unhideWhenUsed/>
    <w:qFormat/>
    <w:rsid w:val="008735E4"/>
    <w:pPr>
      <w:keepNext/>
      <w:keepLines/>
      <w:spacing w:before="240"/>
      <w:outlineLvl w:val="2"/>
    </w:pPr>
    <w:rPr>
      <w:rFonts w:asciiTheme="majorHAnsi" w:eastAsiaTheme="majorEastAsia" w:hAnsiTheme="majorHAnsi" w:cstheme="majorBidi"/>
      <w:b/>
      <w:bCs/>
      <w:color w:val="0070B2" w:themeColor="accent6"/>
    </w:rPr>
  </w:style>
  <w:style w:type="paragraph" w:styleId="Heading4">
    <w:name w:val="heading 4"/>
    <w:basedOn w:val="Normal"/>
    <w:next w:val="Normal"/>
    <w:link w:val="Heading4Char"/>
    <w:uiPriority w:val="9"/>
    <w:unhideWhenUsed/>
    <w:qFormat/>
    <w:rsid w:val="008735E4"/>
    <w:pPr>
      <w:keepNext/>
      <w:keepLines/>
      <w:spacing w:before="200" w:after="0"/>
      <w:outlineLvl w:val="3"/>
    </w:pPr>
    <w:rPr>
      <w:rFonts w:asciiTheme="majorHAnsi" w:eastAsiaTheme="majorEastAsia" w:hAnsiTheme="majorHAnsi" w:cstheme="majorBidi"/>
      <w:bCs/>
      <w:i/>
      <w:iCs/>
      <w:color w:val="0070B2" w:themeColor="accent6"/>
    </w:rPr>
  </w:style>
  <w:style w:type="paragraph" w:styleId="Heading5">
    <w:name w:val="heading 5"/>
    <w:basedOn w:val="Normal"/>
    <w:next w:val="Normal"/>
    <w:link w:val="Heading5Char"/>
    <w:uiPriority w:val="9"/>
    <w:unhideWhenUsed/>
    <w:rsid w:val="00445E71"/>
    <w:pPr>
      <w:keepNext/>
      <w:keepLines/>
      <w:numPr>
        <w:ilvl w:val="4"/>
        <w:numId w:val="10"/>
      </w:numPr>
      <w:spacing w:before="200"/>
      <w:outlineLvl w:val="4"/>
    </w:pPr>
    <w:rPr>
      <w:rFonts w:asciiTheme="majorHAnsi" w:eastAsiaTheme="majorEastAsia" w:hAnsiTheme="majorHAnsi" w:cstheme="majorBidi"/>
      <w:color w:val="00173F" w:themeColor="accent1" w:themeShade="7F"/>
    </w:rPr>
  </w:style>
  <w:style w:type="paragraph" w:styleId="Heading6">
    <w:name w:val="heading 6"/>
    <w:basedOn w:val="Normal"/>
    <w:next w:val="Normal"/>
    <w:link w:val="Heading6Char"/>
    <w:uiPriority w:val="9"/>
    <w:semiHidden/>
    <w:unhideWhenUsed/>
    <w:rsid w:val="00445E71"/>
    <w:pPr>
      <w:keepNext/>
      <w:keepLines/>
      <w:numPr>
        <w:ilvl w:val="5"/>
        <w:numId w:val="10"/>
      </w:numPr>
      <w:spacing w:before="200"/>
      <w:outlineLvl w:val="5"/>
    </w:pPr>
    <w:rPr>
      <w:rFonts w:asciiTheme="majorHAnsi" w:eastAsiaTheme="majorEastAsia" w:hAnsiTheme="majorHAnsi" w:cstheme="majorBidi"/>
      <w:i/>
      <w:iCs/>
      <w:color w:val="00173F" w:themeColor="accent1" w:themeShade="7F"/>
    </w:rPr>
  </w:style>
  <w:style w:type="paragraph" w:styleId="Heading7">
    <w:name w:val="heading 7"/>
    <w:basedOn w:val="Normal"/>
    <w:next w:val="Normal"/>
    <w:link w:val="Heading7Char"/>
    <w:uiPriority w:val="9"/>
    <w:semiHidden/>
    <w:unhideWhenUsed/>
    <w:qFormat/>
    <w:rsid w:val="00445E71"/>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5E71"/>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45E71"/>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545"/>
    <w:pPr>
      <w:tabs>
        <w:tab w:val="center" w:pos="4680"/>
        <w:tab w:val="right" w:pos="9360"/>
      </w:tabs>
    </w:pPr>
  </w:style>
  <w:style w:type="character" w:customStyle="1" w:styleId="HeaderChar">
    <w:name w:val="Header Char"/>
    <w:basedOn w:val="DefaultParagraphFont"/>
    <w:link w:val="Header"/>
    <w:uiPriority w:val="99"/>
    <w:rsid w:val="00DF5545"/>
  </w:style>
  <w:style w:type="paragraph" w:styleId="Footer">
    <w:name w:val="footer"/>
    <w:basedOn w:val="Normal"/>
    <w:link w:val="FooterChar"/>
    <w:uiPriority w:val="99"/>
    <w:unhideWhenUsed/>
    <w:rsid w:val="00DF5545"/>
    <w:pPr>
      <w:tabs>
        <w:tab w:val="center" w:pos="4680"/>
        <w:tab w:val="right" w:pos="9360"/>
      </w:tabs>
    </w:pPr>
  </w:style>
  <w:style w:type="character" w:customStyle="1" w:styleId="FooterChar">
    <w:name w:val="Footer Char"/>
    <w:basedOn w:val="DefaultParagraphFont"/>
    <w:link w:val="Footer"/>
    <w:uiPriority w:val="99"/>
    <w:rsid w:val="00DF5545"/>
  </w:style>
  <w:style w:type="table" w:styleId="TableGrid">
    <w:name w:val="Table Grid"/>
    <w:basedOn w:val="TableNormal"/>
    <w:uiPriority w:val="59"/>
    <w:rsid w:val="005674C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forTextandBullets">
    <w:name w:val="Table for Text and Bullets"/>
    <w:basedOn w:val="TableNormal"/>
    <w:uiPriority w:val="99"/>
    <w:rsid w:val="0028209A"/>
    <w:pPr>
      <w:spacing w:after="0"/>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72" w:type="dxa"/>
        <w:left w:w="144" w:type="dxa"/>
        <w:bottom w:w="72" w:type="dxa"/>
        <w:right w:w="144" w:type="dxa"/>
      </w:tblCellMar>
    </w:tblPr>
    <w:tblStylePr w:type="firstRow">
      <w:pPr>
        <w:wordWrap/>
        <w:spacing w:beforeLines="0" w:before="0" w:beforeAutospacing="0" w:afterLines="0" w:after="0" w:afterAutospacing="0"/>
        <w:jc w:val="center"/>
      </w:pPr>
      <w:rPr>
        <w:rFonts w:ascii="Arial" w:hAnsi="Arial"/>
        <w:b/>
        <w:sz w:val="24"/>
      </w:rPr>
      <w:tblPr/>
      <w:tcPr>
        <w:shd w:val="clear" w:color="auto" w:fill="002F80" w:themeFill="text2"/>
        <w:vAlign w:val="center"/>
      </w:tcPr>
    </w:tblStylePr>
  </w:style>
  <w:style w:type="table" w:customStyle="1" w:styleId="TableforDataLists">
    <w:name w:val="Table for Data Lists"/>
    <w:basedOn w:val="TableNormal"/>
    <w:uiPriority w:val="99"/>
    <w:rsid w:val="003D584E"/>
    <w:pPr>
      <w:spacing w:after="0"/>
    </w:pPr>
    <w:rPr>
      <w:rFonts w:ascii="Arial" w:hAnsi="Arial"/>
      <w:color w:val="000000" w:themeColor="text1"/>
      <w:sz w:val="20"/>
    </w:rPr>
    <w:tblPr>
      <w:jc w:val="righ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9" w:type="dxa"/>
        <w:left w:w="144" w:type="dxa"/>
        <w:bottom w:w="29" w:type="dxa"/>
        <w:right w:w="144" w:type="dxa"/>
      </w:tblCellMar>
    </w:tblPr>
    <w:trPr>
      <w:jc w:val="right"/>
    </w:trPr>
    <w:tcPr>
      <w:vAlign w:val="center"/>
    </w:tcPr>
    <w:tblStylePr w:type="firstRow">
      <w:pPr>
        <w:wordWrap/>
        <w:spacing w:beforeLines="0" w:beforeAutospacing="0" w:afterLines="0" w:afterAutospacing="0" w:line="240" w:lineRule="auto"/>
        <w:contextualSpacing w:val="0"/>
        <w:jc w:val="center"/>
      </w:pPr>
      <w:rPr>
        <w:rFonts w:ascii="Arial" w:hAnsi="Arial"/>
        <w:b/>
        <w:color w:val="FFFFFF" w:themeColor="background1"/>
        <w:sz w:val="24"/>
      </w:rPr>
      <w:tblPr>
        <w:tblCellMar>
          <w:top w:w="43" w:type="dxa"/>
          <w:left w:w="72" w:type="dxa"/>
          <w:bottom w:w="43" w:type="dxa"/>
          <w:right w:w="72" w:type="dxa"/>
        </w:tblCellMar>
      </w:tblPr>
      <w:tcPr>
        <w:shd w:val="clear" w:color="auto" w:fill="002F80" w:themeFill="text2"/>
      </w:tcPr>
    </w:tblStylePr>
  </w:style>
  <w:style w:type="paragraph" w:styleId="ListParagraph">
    <w:name w:val="List Paragraph"/>
    <w:basedOn w:val="Normal"/>
    <w:link w:val="ListParagraphChar"/>
    <w:uiPriority w:val="34"/>
    <w:qFormat/>
    <w:rsid w:val="001512D8"/>
    <w:pPr>
      <w:ind w:left="720"/>
      <w:contextualSpacing/>
    </w:pPr>
  </w:style>
  <w:style w:type="paragraph" w:customStyle="1" w:styleId="BoxHedWhite">
    <w:name w:val="Box Hed White"/>
    <w:basedOn w:val="Normal"/>
    <w:link w:val="BoxHedWhiteChar"/>
    <w:qFormat/>
    <w:rsid w:val="007A250A"/>
    <w:rPr>
      <w:rFonts w:asciiTheme="majorHAnsi" w:hAnsiTheme="majorHAnsi" w:cstheme="majorHAnsi"/>
      <w:b/>
      <w:sz w:val="22"/>
      <w:szCs w:val="24"/>
    </w:rPr>
  </w:style>
  <w:style w:type="paragraph" w:customStyle="1" w:styleId="BoxTextWhite">
    <w:name w:val="Box Text White"/>
    <w:basedOn w:val="Normal"/>
    <w:link w:val="BoxTextWhiteChar"/>
    <w:rsid w:val="00044342"/>
    <w:pPr>
      <w:spacing w:before="120"/>
    </w:pPr>
    <w:rPr>
      <w:rFonts w:asciiTheme="majorHAnsi" w:hAnsiTheme="majorHAnsi" w:cstheme="majorHAnsi"/>
      <w:sz w:val="20"/>
      <w:szCs w:val="20"/>
    </w:rPr>
  </w:style>
  <w:style w:type="character" w:customStyle="1" w:styleId="BoxHedWhiteChar">
    <w:name w:val="Box Hed White Char"/>
    <w:basedOn w:val="DefaultParagraphFont"/>
    <w:link w:val="BoxHedWhite"/>
    <w:rsid w:val="007A250A"/>
    <w:rPr>
      <w:rFonts w:asciiTheme="majorHAnsi" w:hAnsiTheme="majorHAnsi" w:cstheme="majorHAnsi"/>
      <w:b/>
      <w:szCs w:val="24"/>
    </w:rPr>
  </w:style>
  <w:style w:type="paragraph" w:customStyle="1" w:styleId="BoxBullet10">
    <w:name w:val="Box Bullet 1"/>
    <w:basedOn w:val="ListBullet"/>
    <w:link w:val="BoxBullet1Char"/>
    <w:rsid w:val="00044342"/>
    <w:pPr>
      <w:numPr>
        <w:numId w:val="1"/>
      </w:numPr>
      <w:ind w:left="216" w:hanging="216"/>
    </w:pPr>
    <w:rPr>
      <w:rFonts w:asciiTheme="majorHAnsi" w:hAnsiTheme="majorHAnsi" w:cstheme="majorHAnsi"/>
      <w:sz w:val="20"/>
      <w:szCs w:val="20"/>
    </w:rPr>
  </w:style>
  <w:style w:type="character" w:customStyle="1" w:styleId="BoxTextWhiteChar">
    <w:name w:val="Box Text White Char"/>
    <w:basedOn w:val="DefaultParagraphFont"/>
    <w:link w:val="BoxTextWhite"/>
    <w:rsid w:val="00044342"/>
    <w:rPr>
      <w:rFonts w:asciiTheme="majorHAnsi" w:hAnsiTheme="majorHAnsi" w:cstheme="majorHAnsi"/>
      <w:sz w:val="20"/>
      <w:szCs w:val="20"/>
    </w:rPr>
  </w:style>
  <w:style w:type="character" w:customStyle="1" w:styleId="ListParagraphChar">
    <w:name w:val="List Paragraph Char"/>
    <w:basedOn w:val="DefaultParagraphFont"/>
    <w:link w:val="ListParagraph"/>
    <w:uiPriority w:val="34"/>
    <w:rsid w:val="001512D8"/>
  </w:style>
  <w:style w:type="character" w:customStyle="1" w:styleId="BoxBullet1Char">
    <w:name w:val="Box Bullet 1 Char"/>
    <w:basedOn w:val="ListParagraphChar"/>
    <w:link w:val="BoxBullet10"/>
    <w:rsid w:val="00044342"/>
    <w:rPr>
      <w:rFonts w:asciiTheme="majorHAnsi" w:hAnsiTheme="majorHAnsi" w:cstheme="majorHAnsi"/>
      <w:sz w:val="20"/>
      <w:szCs w:val="20"/>
    </w:rPr>
  </w:style>
  <w:style w:type="paragraph" w:styleId="ListBullet">
    <w:name w:val="List Bullet"/>
    <w:basedOn w:val="Normal"/>
    <w:uiPriority w:val="99"/>
    <w:semiHidden/>
    <w:unhideWhenUsed/>
    <w:rsid w:val="001512D8"/>
    <w:pPr>
      <w:numPr>
        <w:numId w:val="2"/>
      </w:numPr>
      <w:contextualSpacing/>
    </w:pPr>
  </w:style>
  <w:style w:type="character" w:customStyle="1" w:styleId="Heading1Char">
    <w:name w:val="Heading 1 Char"/>
    <w:basedOn w:val="DefaultParagraphFont"/>
    <w:link w:val="Heading1"/>
    <w:uiPriority w:val="9"/>
    <w:rsid w:val="008735E4"/>
    <w:rPr>
      <w:rFonts w:asciiTheme="majorHAnsi" w:eastAsiaTheme="majorEastAsia" w:hAnsiTheme="majorHAnsi" w:cstheme="majorBidi"/>
      <w:b/>
      <w:bCs/>
      <w:color w:val="002F80" w:themeColor="text2"/>
      <w:sz w:val="28"/>
      <w:szCs w:val="28"/>
    </w:rPr>
  </w:style>
  <w:style w:type="character" w:customStyle="1" w:styleId="Heading2Char">
    <w:name w:val="Heading 2 Char"/>
    <w:basedOn w:val="DefaultParagraphFont"/>
    <w:link w:val="Heading2"/>
    <w:uiPriority w:val="9"/>
    <w:rsid w:val="008735E4"/>
    <w:rPr>
      <w:rFonts w:asciiTheme="majorHAnsi" w:eastAsiaTheme="majorEastAsia" w:hAnsiTheme="majorHAnsi" w:cstheme="majorBidi"/>
      <w:bCs/>
      <w:i/>
      <w:color w:val="002F80" w:themeColor="text2"/>
      <w:sz w:val="28"/>
      <w:szCs w:val="26"/>
    </w:rPr>
  </w:style>
  <w:style w:type="character" w:customStyle="1" w:styleId="Heading3Char">
    <w:name w:val="Heading 3 Char"/>
    <w:basedOn w:val="DefaultParagraphFont"/>
    <w:link w:val="Heading3"/>
    <w:uiPriority w:val="9"/>
    <w:rsid w:val="008735E4"/>
    <w:rPr>
      <w:rFonts w:asciiTheme="majorHAnsi" w:eastAsiaTheme="majorEastAsia" w:hAnsiTheme="majorHAnsi" w:cstheme="majorBidi"/>
      <w:b/>
      <w:bCs/>
      <w:color w:val="0070B2" w:themeColor="accent6"/>
      <w:sz w:val="24"/>
    </w:rPr>
  </w:style>
  <w:style w:type="character" w:customStyle="1" w:styleId="Heading4Char">
    <w:name w:val="Heading 4 Char"/>
    <w:basedOn w:val="DefaultParagraphFont"/>
    <w:link w:val="Heading4"/>
    <w:uiPriority w:val="9"/>
    <w:rsid w:val="008735E4"/>
    <w:rPr>
      <w:rFonts w:asciiTheme="majorHAnsi" w:eastAsiaTheme="majorEastAsia" w:hAnsiTheme="majorHAnsi" w:cstheme="majorBidi"/>
      <w:bCs/>
      <w:i/>
      <w:iCs/>
      <w:color w:val="0070B2" w:themeColor="accent6"/>
      <w:sz w:val="24"/>
    </w:rPr>
  </w:style>
  <w:style w:type="character" w:customStyle="1" w:styleId="Heading5Char">
    <w:name w:val="Heading 5 Char"/>
    <w:basedOn w:val="DefaultParagraphFont"/>
    <w:link w:val="Heading5"/>
    <w:uiPriority w:val="9"/>
    <w:rsid w:val="00445E71"/>
    <w:rPr>
      <w:rFonts w:asciiTheme="majorHAnsi" w:eastAsiaTheme="majorEastAsia" w:hAnsiTheme="majorHAnsi" w:cstheme="majorBidi"/>
      <w:color w:val="00173F" w:themeColor="accent1" w:themeShade="7F"/>
    </w:rPr>
  </w:style>
  <w:style w:type="character" w:customStyle="1" w:styleId="Heading6Char">
    <w:name w:val="Heading 6 Char"/>
    <w:basedOn w:val="DefaultParagraphFont"/>
    <w:link w:val="Heading6"/>
    <w:uiPriority w:val="9"/>
    <w:semiHidden/>
    <w:rsid w:val="00445E71"/>
    <w:rPr>
      <w:rFonts w:asciiTheme="majorHAnsi" w:eastAsiaTheme="majorEastAsia" w:hAnsiTheme="majorHAnsi" w:cstheme="majorBidi"/>
      <w:i/>
      <w:iCs/>
      <w:color w:val="00173F" w:themeColor="accent1" w:themeShade="7F"/>
    </w:rPr>
  </w:style>
  <w:style w:type="character" w:customStyle="1" w:styleId="Heading7Char">
    <w:name w:val="Heading 7 Char"/>
    <w:basedOn w:val="DefaultParagraphFont"/>
    <w:link w:val="Heading7"/>
    <w:uiPriority w:val="9"/>
    <w:semiHidden/>
    <w:rsid w:val="00445E7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5E7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45E71"/>
    <w:rPr>
      <w:rFonts w:asciiTheme="majorHAnsi" w:eastAsiaTheme="majorEastAsia" w:hAnsiTheme="majorHAnsi" w:cstheme="majorBidi"/>
      <w:i/>
      <w:iCs/>
      <w:color w:val="404040" w:themeColor="text1" w:themeTint="BF"/>
      <w:sz w:val="20"/>
      <w:szCs w:val="20"/>
    </w:rPr>
  </w:style>
  <w:style w:type="paragraph" w:customStyle="1" w:styleId="Bullet1">
    <w:name w:val="Bullet 1"/>
    <w:basedOn w:val="ListParagraph"/>
    <w:link w:val="Bullet1Char"/>
    <w:qFormat/>
    <w:rsid w:val="000F55C9"/>
    <w:pPr>
      <w:numPr>
        <w:numId w:val="5"/>
      </w:numPr>
      <w:contextualSpacing w:val="0"/>
    </w:pPr>
  </w:style>
  <w:style w:type="paragraph" w:customStyle="1" w:styleId="Bullet2">
    <w:name w:val="Bullet 2"/>
    <w:basedOn w:val="Bullet1"/>
    <w:link w:val="Bullet2Char"/>
    <w:qFormat/>
    <w:rsid w:val="00103B1F"/>
    <w:pPr>
      <w:numPr>
        <w:ilvl w:val="1"/>
      </w:numPr>
      <w:ind w:left="1080"/>
    </w:pPr>
  </w:style>
  <w:style w:type="character" w:customStyle="1" w:styleId="Bullet1Char">
    <w:name w:val="Bullet 1 Char"/>
    <w:basedOn w:val="ListParagraphChar"/>
    <w:link w:val="Bullet1"/>
    <w:rsid w:val="000F55C9"/>
    <w:rPr>
      <w:sz w:val="24"/>
    </w:rPr>
  </w:style>
  <w:style w:type="paragraph" w:customStyle="1" w:styleId="Bullet3">
    <w:name w:val="Bullet 3"/>
    <w:basedOn w:val="Bullet2"/>
    <w:link w:val="Bullet3Char"/>
    <w:qFormat/>
    <w:rsid w:val="00103B1F"/>
    <w:pPr>
      <w:numPr>
        <w:ilvl w:val="2"/>
      </w:numPr>
      <w:ind w:left="1440"/>
    </w:pPr>
  </w:style>
  <w:style w:type="character" w:customStyle="1" w:styleId="Bullet2Char">
    <w:name w:val="Bullet 2 Char"/>
    <w:basedOn w:val="Bullet1Char"/>
    <w:link w:val="Bullet2"/>
    <w:rsid w:val="00103B1F"/>
    <w:rPr>
      <w:sz w:val="24"/>
    </w:rPr>
  </w:style>
  <w:style w:type="character" w:customStyle="1" w:styleId="Bullet3Char">
    <w:name w:val="Bullet 3 Char"/>
    <w:basedOn w:val="Bullet2Char"/>
    <w:link w:val="Bullet3"/>
    <w:rsid w:val="00103B1F"/>
    <w:rPr>
      <w:sz w:val="24"/>
    </w:rPr>
  </w:style>
  <w:style w:type="paragraph" w:styleId="NoSpacing">
    <w:name w:val="No Spacing"/>
    <w:link w:val="NoSpacingChar"/>
    <w:uiPriority w:val="99"/>
    <w:rsid w:val="00881CAC"/>
    <w:pPr>
      <w:spacing w:after="0"/>
    </w:pPr>
    <w:rPr>
      <w:rFonts w:ascii="Times New Roman" w:eastAsia="Times New Roman" w:hAnsi="Times New Roman" w:cs="Times New Roman"/>
      <w:sz w:val="24"/>
      <w:szCs w:val="24"/>
    </w:rPr>
  </w:style>
  <w:style w:type="paragraph" w:styleId="Caption">
    <w:name w:val="caption"/>
    <w:basedOn w:val="Normal"/>
    <w:next w:val="Normal"/>
    <w:link w:val="CaptionChar"/>
    <w:uiPriority w:val="35"/>
    <w:unhideWhenUsed/>
    <w:qFormat/>
    <w:rsid w:val="00774A46"/>
    <w:pPr>
      <w:keepNext/>
      <w:jc w:val="center"/>
    </w:pPr>
    <w:rPr>
      <w:rFonts w:asciiTheme="majorHAnsi" w:hAnsiTheme="majorHAnsi" w:cstheme="majorHAnsi"/>
      <w:b/>
      <w:bCs/>
      <w:color w:val="002F80" w:themeColor="accent1"/>
      <w:sz w:val="20"/>
      <w:szCs w:val="20"/>
    </w:rPr>
  </w:style>
  <w:style w:type="character" w:customStyle="1" w:styleId="CaptionChar">
    <w:name w:val="Caption Char"/>
    <w:basedOn w:val="DefaultParagraphFont"/>
    <w:link w:val="Caption"/>
    <w:uiPriority w:val="35"/>
    <w:rsid w:val="00774A46"/>
    <w:rPr>
      <w:rFonts w:asciiTheme="majorHAnsi" w:hAnsiTheme="majorHAnsi" w:cstheme="majorHAnsi"/>
      <w:b/>
      <w:bCs/>
      <w:color w:val="002F80" w:themeColor="accent1"/>
      <w:sz w:val="20"/>
      <w:szCs w:val="20"/>
    </w:rPr>
  </w:style>
  <w:style w:type="character" w:customStyle="1" w:styleId="NoSpacingChar">
    <w:name w:val="No Spacing Char"/>
    <w:basedOn w:val="DefaultParagraphFont"/>
    <w:link w:val="NoSpacing"/>
    <w:uiPriority w:val="99"/>
    <w:locked/>
    <w:rsid w:val="00881C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1CAC"/>
    <w:rPr>
      <w:rFonts w:ascii="Tahoma" w:hAnsi="Tahoma" w:cs="Tahoma"/>
      <w:sz w:val="16"/>
      <w:szCs w:val="16"/>
    </w:rPr>
  </w:style>
  <w:style w:type="character" w:customStyle="1" w:styleId="BalloonTextChar">
    <w:name w:val="Balloon Text Char"/>
    <w:basedOn w:val="DefaultParagraphFont"/>
    <w:link w:val="BalloonText"/>
    <w:uiPriority w:val="99"/>
    <w:semiHidden/>
    <w:rsid w:val="00881CAC"/>
    <w:rPr>
      <w:rFonts w:ascii="Tahoma" w:hAnsi="Tahoma" w:cs="Tahoma"/>
      <w:sz w:val="16"/>
      <w:szCs w:val="16"/>
    </w:rPr>
  </w:style>
  <w:style w:type="paragraph" w:styleId="Title">
    <w:name w:val="Title"/>
    <w:basedOn w:val="Normal"/>
    <w:next w:val="Normal"/>
    <w:link w:val="TitleChar"/>
    <w:uiPriority w:val="10"/>
    <w:qFormat/>
    <w:rsid w:val="008735E4"/>
    <w:pPr>
      <w:spacing w:after="0"/>
      <w:contextualSpacing/>
    </w:pPr>
    <w:rPr>
      <w:rFonts w:ascii="Arial" w:eastAsia="Times New Roman" w:hAnsi="Arial" w:cs="Times New Roman"/>
      <w:b/>
      <w:color w:val="002F80"/>
      <w:spacing w:val="5"/>
      <w:kern w:val="28"/>
      <w:sz w:val="36"/>
      <w:szCs w:val="52"/>
    </w:rPr>
  </w:style>
  <w:style w:type="character" w:customStyle="1" w:styleId="TitleChar">
    <w:name w:val="Title Char"/>
    <w:basedOn w:val="DefaultParagraphFont"/>
    <w:link w:val="Title"/>
    <w:uiPriority w:val="10"/>
    <w:rsid w:val="008735E4"/>
    <w:rPr>
      <w:rFonts w:ascii="Arial" w:eastAsia="Times New Roman" w:hAnsi="Arial" w:cs="Times New Roman"/>
      <w:b/>
      <w:color w:val="002F80"/>
      <w:spacing w:val="5"/>
      <w:kern w:val="28"/>
      <w:sz w:val="36"/>
      <w:szCs w:val="52"/>
    </w:rPr>
  </w:style>
  <w:style w:type="paragraph" w:styleId="Subtitle">
    <w:name w:val="Subtitle"/>
    <w:basedOn w:val="Normal"/>
    <w:next w:val="Normal"/>
    <w:link w:val="SubtitleChar"/>
    <w:uiPriority w:val="11"/>
    <w:qFormat/>
    <w:rsid w:val="008735E4"/>
    <w:pPr>
      <w:numPr>
        <w:ilvl w:val="1"/>
      </w:numPr>
      <w:pBdr>
        <w:bottom w:val="single" w:sz="18" w:space="1" w:color="B0B1B3"/>
      </w:pBdr>
      <w:spacing w:after="360"/>
    </w:pPr>
    <w:rPr>
      <w:rFonts w:ascii="Arial" w:eastAsia="Times New Roman" w:hAnsi="Arial" w:cs="Times New Roman"/>
      <w:i/>
      <w:iCs/>
      <w:color w:val="002F80"/>
      <w:spacing w:val="15"/>
      <w:sz w:val="28"/>
      <w:szCs w:val="24"/>
    </w:rPr>
  </w:style>
  <w:style w:type="character" w:customStyle="1" w:styleId="SubtitleChar">
    <w:name w:val="Subtitle Char"/>
    <w:basedOn w:val="DefaultParagraphFont"/>
    <w:link w:val="Subtitle"/>
    <w:uiPriority w:val="11"/>
    <w:rsid w:val="008735E4"/>
    <w:rPr>
      <w:rFonts w:ascii="Arial" w:eastAsia="Times New Roman" w:hAnsi="Arial" w:cs="Times New Roman"/>
      <w:i/>
      <w:iCs/>
      <w:color w:val="002F80"/>
      <w:spacing w:val="15"/>
      <w:sz w:val="28"/>
      <w:szCs w:val="24"/>
    </w:rPr>
  </w:style>
  <w:style w:type="paragraph" w:styleId="TOCHeading">
    <w:name w:val="TOC Heading"/>
    <w:basedOn w:val="Heading1"/>
    <w:next w:val="Normal"/>
    <w:uiPriority w:val="39"/>
    <w:unhideWhenUsed/>
    <w:qFormat/>
    <w:rsid w:val="00103B1F"/>
    <w:pPr>
      <w:spacing w:line="276" w:lineRule="auto"/>
      <w:outlineLvl w:val="9"/>
    </w:pPr>
    <w:rPr>
      <w:lang w:eastAsia="ja-JP"/>
    </w:rPr>
  </w:style>
  <w:style w:type="paragraph" w:styleId="TOC1">
    <w:name w:val="toc 1"/>
    <w:basedOn w:val="Normal"/>
    <w:next w:val="Normal"/>
    <w:autoRedefine/>
    <w:uiPriority w:val="39"/>
    <w:unhideWhenUsed/>
    <w:rsid w:val="00C41D1E"/>
    <w:pPr>
      <w:spacing w:after="100"/>
    </w:pPr>
  </w:style>
  <w:style w:type="paragraph" w:styleId="TOC2">
    <w:name w:val="toc 2"/>
    <w:basedOn w:val="Normal"/>
    <w:next w:val="Normal"/>
    <w:autoRedefine/>
    <w:uiPriority w:val="39"/>
    <w:unhideWhenUsed/>
    <w:rsid w:val="00C41D1E"/>
    <w:pPr>
      <w:spacing w:after="100"/>
      <w:ind w:left="220"/>
    </w:pPr>
  </w:style>
  <w:style w:type="paragraph" w:styleId="TOC3">
    <w:name w:val="toc 3"/>
    <w:basedOn w:val="Normal"/>
    <w:next w:val="Normal"/>
    <w:autoRedefine/>
    <w:uiPriority w:val="39"/>
    <w:unhideWhenUsed/>
    <w:rsid w:val="00C41D1E"/>
    <w:pPr>
      <w:spacing w:after="100"/>
      <w:ind w:left="440"/>
    </w:pPr>
  </w:style>
  <w:style w:type="character" w:styleId="Hyperlink">
    <w:name w:val="Hyperlink"/>
    <w:basedOn w:val="DefaultParagraphFont"/>
    <w:uiPriority w:val="99"/>
    <w:unhideWhenUsed/>
    <w:rsid w:val="00C41D1E"/>
    <w:rPr>
      <w:color w:val="0000FF" w:themeColor="hyperlink"/>
      <w:u w:val="single"/>
    </w:rPr>
  </w:style>
  <w:style w:type="paragraph" w:customStyle="1" w:styleId="Boxbullet1">
    <w:name w:val="Box bullet 1"/>
    <w:basedOn w:val="NoSpacing"/>
    <w:link w:val="Boxbullet1Char0"/>
    <w:qFormat/>
    <w:rsid w:val="007A250A"/>
    <w:pPr>
      <w:numPr>
        <w:numId w:val="6"/>
      </w:numPr>
      <w:spacing w:after="60"/>
      <w:ind w:left="432" w:hanging="216"/>
    </w:pPr>
    <w:rPr>
      <w:rFonts w:ascii="Arial" w:hAnsi="Arial" w:cs="Arial"/>
      <w:sz w:val="20"/>
    </w:rPr>
  </w:style>
  <w:style w:type="character" w:customStyle="1" w:styleId="Boxbullet1Char0">
    <w:name w:val="Box bullet 1 Char"/>
    <w:basedOn w:val="NoSpacingChar"/>
    <w:link w:val="Boxbullet1"/>
    <w:rsid w:val="007A250A"/>
    <w:rPr>
      <w:rFonts w:ascii="Arial" w:eastAsia="Times New Roman" w:hAnsi="Arial" w:cs="Arial"/>
      <w:sz w:val="20"/>
      <w:szCs w:val="24"/>
    </w:rPr>
  </w:style>
  <w:style w:type="paragraph" w:customStyle="1" w:styleId="Boxtext">
    <w:name w:val="Box text"/>
    <w:basedOn w:val="Normal"/>
    <w:link w:val="BoxtextChar"/>
    <w:qFormat/>
    <w:rsid w:val="00044342"/>
    <w:rPr>
      <w:rFonts w:ascii="Arial" w:eastAsia="Times New Roman" w:hAnsi="Arial" w:cs="Arial"/>
      <w:sz w:val="20"/>
      <w:szCs w:val="20"/>
    </w:rPr>
  </w:style>
  <w:style w:type="character" w:customStyle="1" w:styleId="BoxtextChar">
    <w:name w:val="Box text Char"/>
    <w:basedOn w:val="DefaultParagraphFont"/>
    <w:link w:val="Boxtext"/>
    <w:rsid w:val="00044342"/>
    <w:rPr>
      <w:rFonts w:ascii="Arial" w:eastAsia="Times New Roman" w:hAnsi="Arial" w:cs="Arial"/>
      <w:sz w:val="20"/>
      <w:szCs w:val="20"/>
    </w:rPr>
  </w:style>
  <w:style w:type="paragraph" w:customStyle="1" w:styleId="TableHedWhite">
    <w:name w:val="Table Hed White"/>
    <w:basedOn w:val="Normal"/>
    <w:link w:val="TableHedWhiteChar"/>
    <w:qFormat/>
    <w:rsid w:val="00C65666"/>
    <w:pPr>
      <w:spacing w:after="0"/>
      <w:jc w:val="center"/>
    </w:pPr>
    <w:rPr>
      <w:rFonts w:ascii="Arial" w:hAnsi="Arial"/>
    </w:rPr>
  </w:style>
  <w:style w:type="paragraph" w:customStyle="1" w:styleId="TableBullet1">
    <w:name w:val="Table Bullet 1"/>
    <w:basedOn w:val="ListParagraph"/>
    <w:link w:val="TableBullet1Char"/>
    <w:qFormat/>
    <w:rsid w:val="000C6B2E"/>
    <w:pPr>
      <w:numPr>
        <w:numId w:val="13"/>
      </w:numPr>
      <w:spacing w:after="60"/>
      <w:ind w:left="216" w:hanging="216"/>
      <w:contextualSpacing w:val="0"/>
    </w:pPr>
    <w:rPr>
      <w:rFonts w:ascii="Arial" w:hAnsi="Arial"/>
      <w:sz w:val="20"/>
    </w:rPr>
  </w:style>
  <w:style w:type="character" w:customStyle="1" w:styleId="TableHedWhiteChar">
    <w:name w:val="Table Hed White Char"/>
    <w:basedOn w:val="DefaultParagraphFont"/>
    <w:link w:val="TableHedWhite"/>
    <w:rsid w:val="00C65666"/>
    <w:rPr>
      <w:rFonts w:ascii="Arial" w:hAnsi="Arial"/>
      <w:sz w:val="24"/>
    </w:rPr>
  </w:style>
  <w:style w:type="paragraph" w:customStyle="1" w:styleId="TableText">
    <w:name w:val="Table Text"/>
    <w:basedOn w:val="Normal"/>
    <w:link w:val="TableTextChar"/>
    <w:qFormat/>
    <w:rsid w:val="000F55C9"/>
    <w:rPr>
      <w:rFonts w:ascii="Arial" w:hAnsi="Arial"/>
      <w:sz w:val="20"/>
    </w:rPr>
  </w:style>
  <w:style w:type="character" w:customStyle="1" w:styleId="TableBullet1Char">
    <w:name w:val="Table Bullet 1 Char"/>
    <w:basedOn w:val="ListParagraphChar"/>
    <w:link w:val="TableBullet1"/>
    <w:rsid w:val="000C6B2E"/>
    <w:rPr>
      <w:rFonts w:ascii="Arial" w:hAnsi="Arial"/>
      <w:sz w:val="20"/>
    </w:rPr>
  </w:style>
  <w:style w:type="character" w:customStyle="1" w:styleId="TableTextChar">
    <w:name w:val="Table Text Char"/>
    <w:basedOn w:val="DefaultParagraphFont"/>
    <w:link w:val="TableText"/>
    <w:rsid w:val="000F55C9"/>
    <w:rPr>
      <w:rFonts w:ascii="Arial" w:hAnsi="Arial"/>
      <w:sz w:val="20"/>
    </w:rPr>
  </w:style>
  <w:style w:type="paragraph" w:customStyle="1" w:styleId="Number1">
    <w:name w:val="Number 1"/>
    <w:basedOn w:val="ListParagraph"/>
    <w:link w:val="Number1Char"/>
    <w:qFormat/>
    <w:rsid w:val="00C65666"/>
    <w:pPr>
      <w:numPr>
        <w:numId w:val="8"/>
      </w:numPr>
      <w:contextualSpacing w:val="0"/>
    </w:pPr>
  </w:style>
  <w:style w:type="paragraph" w:customStyle="1" w:styleId="Number2">
    <w:name w:val="Number 2"/>
    <w:basedOn w:val="ListParagraph"/>
    <w:link w:val="Number2Char"/>
    <w:qFormat/>
    <w:rsid w:val="00C65666"/>
    <w:pPr>
      <w:numPr>
        <w:ilvl w:val="1"/>
        <w:numId w:val="8"/>
      </w:numPr>
    </w:pPr>
  </w:style>
  <w:style w:type="character" w:customStyle="1" w:styleId="Number1Char">
    <w:name w:val="Number 1 Char"/>
    <w:basedOn w:val="ListParagraphChar"/>
    <w:link w:val="Number1"/>
    <w:rsid w:val="00C65666"/>
    <w:rPr>
      <w:sz w:val="24"/>
    </w:rPr>
  </w:style>
  <w:style w:type="paragraph" w:customStyle="1" w:styleId="Number3">
    <w:name w:val="Number 3"/>
    <w:basedOn w:val="ListParagraph"/>
    <w:link w:val="Number3Char"/>
    <w:qFormat/>
    <w:rsid w:val="00BB5448"/>
    <w:pPr>
      <w:numPr>
        <w:ilvl w:val="2"/>
        <w:numId w:val="8"/>
      </w:numPr>
    </w:pPr>
  </w:style>
  <w:style w:type="character" w:customStyle="1" w:styleId="Number2Char">
    <w:name w:val="Number 2 Char"/>
    <w:basedOn w:val="ListParagraphChar"/>
    <w:link w:val="Number2"/>
    <w:rsid w:val="00C65666"/>
    <w:rPr>
      <w:sz w:val="24"/>
    </w:rPr>
  </w:style>
  <w:style w:type="character" w:customStyle="1" w:styleId="Number3Char">
    <w:name w:val="Number 3 Char"/>
    <w:basedOn w:val="ListParagraphChar"/>
    <w:link w:val="Number3"/>
    <w:rsid w:val="00BB5448"/>
  </w:style>
  <w:style w:type="paragraph" w:customStyle="1" w:styleId="Appendix1">
    <w:name w:val="Appendix 1"/>
    <w:basedOn w:val="Heading1"/>
    <w:next w:val="Normal"/>
    <w:link w:val="Appendix1Char"/>
    <w:qFormat/>
    <w:rsid w:val="008C753E"/>
    <w:pPr>
      <w:pageBreakBefore/>
      <w:spacing w:before="0"/>
    </w:pPr>
  </w:style>
  <w:style w:type="paragraph" w:customStyle="1" w:styleId="Appendix2">
    <w:name w:val="Appendix 2"/>
    <w:basedOn w:val="Heading2"/>
    <w:next w:val="Normal"/>
    <w:link w:val="Appendix2Char"/>
    <w:qFormat/>
    <w:rsid w:val="007109E3"/>
    <w:pPr>
      <w:ind w:left="432" w:hanging="432"/>
    </w:pPr>
  </w:style>
  <w:style w:type="character" w:customStyle="1" w:styleId="Appendix1Char">
    <w:name w:val="Appendix 1 Char"/>
    <w:basedOn w:val="Heading1Char"/>
    <w:link w:val="Appendix1"/>
    <w:rsid w:val="008C753E"/>
    <w:rPr>
      <w:rFonts w:asciiTheme="majorHAnsi" w:eastAsiaTheme="majorEastAsia" w:hAnsiTheme="majorHAnsi" w:cstheme="majorBidi"/>
      <w:b/>
      <w:bCs/>
      <w:color w:val="002F80" w:themeColor="text2"/>
      <w:sz w:val="32"/>
      <w:szCs w:val="28"/>
    </w:rPr>
  </w:style>
  <w:style w:type="paragraph" w:customStyle="1" w:styleId="Appendix3">
    <w:name w:val="Appendix 3"/>
    <w:basedOn w:val="Heading3"/>
    <w:next w:val="Normal"/>
    <w:link w:val="Appendix3Char"/>
    <w:qFormat/>
    <w:rsid w:val="008735E4"/>
    <w:pPr>
      <w:spacing w:after="0"/>
      <w:ind w:left="432" w:hanging="432"/>
    </w:pPr>
  </w:style>
  <w:style w:type="character" w:customStyle="1" w:styleId="Appendix2Char">
    <w:name w:val="Appendix 2 Char"/>
    <w:basedOn w:val="Heading2Char"/>
    <w:link w:val="Appendix2"/>
    <w:rsid w:val="007109E3"/>
    <w:rPr>
      <w:rFonts w:asciiTheme="majorHAnsi" w:eastAsiaTheme="majorEastAsia" w:hAnsiTheme="majorHAnsi" w:cstheme="majorBidi"/>
      <w:b w:val="0"/>
      <w:bCs/>
      <w:i/>
      <w:color w:val="002F80" w:themeColor="text2"/>
      <w:sz w:val="28"/>
      <w:szCs w:val="26"/>
    </w:rPr>
  </w:style>
  <w:style w:type="paragraph" w:customStyle="1" w:styleId="Appendix4">
    <w:name w:val="Appendix 4"/>
    <w:basedOn w:val="Heading4"/>
    <w:next w:val="Normal"/>
    <w:link w:val="Appendix4Char"/>
    <w:qFormat/>
    <w:rsid w:val="007109E3"/>
    <w:pPr>
      <w:ind w:left="432" w:hanging="432"/>
    </w:pPr>
  </w:style>
  <w:style w:type="character" w:customStyle="1" w:styleId="Appendix3Char">
    <w:name w:val="Appendix 3 Char"/>
    <w:basedOn w:val="Heading3Char"/>
    <w:link w:val="Appendix3"/>
    <w:rsid w:val="008735E4"/>
    <w:rPr>
      <w:rFonts w:asciiTheme="majorHAnsi" w:eastAsiaTheme="majorEastAsia" w:hAnsiTheme="majorHAnsi" w:cstheme="majorBidi"/>
      <w:b/>
      <w:bCs/>
      <w:color w:val="0070B2" w:themeColor="accent6"/>
      <w:sz w:val="24"/>
    </w:rPr>
  </w:style>
  <w:style w:type="character" w:customStyle="1" w:styleId="Appendix4Char">
    <w:name w:val="Appendix 4 Char"/>
    <w:basedOn w:val="Heading4Char"/>
    <w:link w:val="Appendix4"/>
    <w:rsid w:val="007109E3"/>
    <w:rPr>
      <w:rFonts w:asciiTheme="majorHAnsi" w:eastAsiaTheme="majorEastAsia" w:hAnsiTheme="majorHAnsi" w:cstheme="majorBidi"/>
      <w:b w:val="0"/>
      <w:bCs/>
      <w:i/>
      <w:iCs/>
      <w:color w:val="002F80" w:themeColor="accent1"/>
      <w:sz w:val="24"/>
    </w:rPr>
  </w:style>
  <w:style w:type="paragraph" w:styleId="FootnoteText">
    <w:name w:val="footnote text"/>
    <w:aliases w:val="rFootnote Text"/>
    <w:basedOn w:val="Normal"/>
    <w:link w:val="FootnoteTextChar"/>
    <w:uiPriority w:val="99"/>
    <w:unhideWhenUsed/>
    <w:qFormat/>
    <w:rsid w:val="008C294F"/>
    <w:pPr>
      <w:spacing w:after="0"/>
    </w:pPr>
    <w:rPr>
      <w:sz w:val="20"/>
      <w:szCs w:val="20"/>
    </w:rPr>
  </w:style>
  <w:style w:type="character" w:customStyle="1" w:styleId="FootnoteTextChar">
    <w:name w:val="Footnote Text Char"/>
    <w:aliases w:val="rFootnote Text Char"/>
    <w:basedOn w:val="DefaultParagraphFont"/>
    <w:link w:val="FootnoteText"/>
    <w:uiPriority w:val="99"/>
    <w:rsid w:val="008C294F"/>
    <w:rPr>
      <w:sz w:val="20"/>
      <w:szCs w:val="20"/>
    </w:rPr>
  </w:style>
  <w:style w:type="character" w:styleId="FootnoteReference">
    <w:name w:val="footnote reference"/>
    <w:aliases w:val="rFootnote Reference"/>
    <w:basedOn w:val="DefaultParagraphFont"/>
    <w:uiPriority w:val="99"/>
    <w:unhideWhenUsed/>
    <w:rsid w:val="008C294F"/>
    <w:rPr>
      <w:vertAlign w:val="superscript"/>
    </w:rPr>
  </w:style>
  <w:style w:type="character" w:styleId="CommentReference">
    <w:name w:val="annotation reference"/>
    <w:basedOn w:val="DefaultParagraphFont"/>
    <w:uiPriority w:val="99"/>
    <w:semiHidden/>
    <w:unhideWhenUsed/>
    <w:rsid w:val="008C294F"/>
    <w:rPr>
      <w:sz w:val="16"/>
      <w:szCs w:val="16"/>
    </w:rPr>
  </w:style>
  <w:style w:type="paragraph" w:styleId="CommentText">
    <w:name w:val="annotation text"/>
    <w:basedOn w:val="Normal"/>
    <w:link w:val="CommentTextChar"/>
    <w:uiPriority w:val="99"/>
    <w:semiHidden/>
    <w:unhideWhenUsed/>
    <w:rsid w:val="008C294F"/>
    <w:pPr>
      <w:spacing w:after="200"/>
    </w:pPr>
    <w:rPr>
      <w:sz w:val="20"/>
      <w:szCs w:val="20"/>
    </w:rPr>
  </w:style>
  <w:style w:type="character" w:customStyle="1" w:styleId="CommentTextChar">
    <w:name w:val="Comment Text Char"/>
    <w:basedOn w:val="DefaultParagraphFont"/>
    <w:link w:val="CommentText"/>
    <w:uiPriority w:val="99"/>
    <w:semiHidden/>
    <w:rsid w:val="008C294F"/>
    <w:rPr>
      <w:sz w:val="20"/>
      <w:szCs w:val="20"/>
    </w:rPr>
  </w:style>
  <w:style w:type="paragraph" w:styleId="CommentSubject">
    <w:name w:val="annotation subject"/>
    <w:basedOn w:val="CommentText"/>
    <w:next w:val="CommentText"/>
    <w:link w:val="CommentSubjectChar"/>
    <w:uiPriority w:val="99"/>
    <w:semiHidden/>
    <w:unhideWhenUsed/>
    <w:rsid w:val="008E3374"/>
    <w:pPr>
      <w:spacing w:after="120"/>
    </w:pPr>
    <w:rPr>
      <w:b/>
      <w:bCs/>
    </w:rPr>
  </w:style>
  <w:style w:type="character" w:customStyle="1" w:styleId="CommentSubjectChar">
    <w:name w:val="Comment Subject Char"/>
    <w:basedOn w:val="CommentTextChar"/>
    <w:link w:val="CommentSubject"/>
    <w:uiPriority w:val="99"/>
    <w:semiHidden/>
    <w:rsid w:val="008E3374"/>
    <w:rPr>
      <w:b/>
      <w:bCs/>
      <w:sz w:val="20"/>
      <w:szCs w:val="20"/>
    </w:rPr>
  </w:style>
  <w:style w:type="paragraph" w:styleId="Revision">
    <w:name w:val="Revision"/>
    <w:hidden/>
    <w:uiPriority w:val="99"/>
    <w:semiHidden/>
    <w:rsid w:val="008E3374"/>
    <w:pPr>
      <w:spacing w:after="0"/>
    </w:pPr>
    <w:rPr>
      <w:sz w:val="24"/>
    </w:rPr>
  </w:style>
  <w:style w:type="paragraph" w:styleId="NormalWeb">
    <w:name w:val="Normal (Web)"/>
    <w:basedOn w:val="Normal"/>
    <w:uiPriority w:val="99"/>
    <w:semiHidden/>
    <w:unhideWhenUsed/>
    <w:rsid w:val="00E562B0"/>
    <w:pPr>
      <w:spacing w:before="100" w:beforeAutospacing="1" w:after="100" w:afterAutospacing="1"/>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775">
      <w:bodyDiv w:val="1"/>
      <w:marLeft w:val="0"/>
      <w:marRight w:val="0"/>
      <w:marTop w:val="0"/>
      <w:marBottom w:val="0"/>
      <w:divBdr>
        <w:top w:val="none" w:sz="0" w:space="0" w:color="auto"/>
        <w:left w:val="none" w:sz="0" w:space="0" w:color="auto"/>
        <w:bottom w:val="none" w:sz="0" w:space="0" w:color="auto"/>
        <w:right w:val="none" w:sz="0" w:space="0" w:color="auto"/>
      </w:divBdr>
      <w:divsChild>
        <w:div w:id="910702616">
          <w:marLeft w:val="547"/>
          <w:marRight w:val="0"/>
          <w:marTop w:val="0"/>
          <w:marBottom w:val="0"/>
          <w:divBdr>
            <w:top w:val="none" w:sz="0" w:space="0" w:color="auto"/>
            <w:left w:val="none" w:sz="0" w:space="0" w:color="auto"/>
            <w:bottom w:val="none" w:sz="0" w:space="0" w:color="auto"/>
            <w:right w:val="none" w:sz="0" w:space="0" w:color="auto"/>
          </w:divBdr>
        </w:div>
        <w:div w:id="2142112079">
          <w:marLeft w:val="547"/>
          <w:marRight w:val="0"/>
          <w:marTop w:val="0"/>
          <w:marBottom w:val="0"/>
          <w:divBdr>
            <w:top w:val="none" w:sz="0" w:space="0" w:color="auto"/>
            <w:left w:val="none" w:sz="0" w:space="0" w:color="auto"/>
            <w:bottom w:val="none" w:sz="0" w:space="0" w:color="auto"/>
            <w:right w:val="none" w:sz="0" w:space="0" w:color="auto"/>
          </w:divBdr>
        </w:div>
        <w:div w:id="1026754983">
          <w:marLeft w:val="547"/>
          <w:marRight w:val="0"/>
          <w:marTop w:val="0"/>
          <w:marBottom w:val="0"/>
          <w:divBdr>
            <w:top w:val="none" w:sz="0" w:space="0" w:color="auto"/>
            <w:left w:val="none" w:sz="0" w:space="0" w:color="auto"/>
            <w:bottom w:val="none" w:sz="0" w:space="0" w:color="auto"/>
            <w:right w:val="none" w:sz="0" w:space="0" w:color="auto"/>
          </w:divBdr>
        </w:div>
        <w:div w:id="699938738">
          <w:marLeft w:val="547"/>
          <w:marRight w:val="0"/>
          <w:marTop w:val="0"/>
          <w:marBottom w:val="0"/>
          <w:divBdr>
            <w:top w:val="none" w:sz="0" w:space="0" w:color="auto"/>
            <w:left w:val="none" w:sz="0" w:space="0" w:color="auto"/>
            <w:bottom w:val="none" w:sz="0" w:space="0" w:color="auto"/>
            <w:right w:val="none" w:sz="0" w:space="0" w:color="auto"/>
          </w:divBdr>
        </w:div>
        <w:div w:id="2023587664">
          <w:marLeft w:val="547"/>
          <w:marRight w:val="0"/>
          <w:marTop w:val="0"/>
          <w:marBottom w:val="0"/>
          <w:divBdr>
            <w:top w:val="none" w:sz="0" w:space="0" w:color="auto"/>
            <w:left w:val="none" w:sz="0" w:space="0" w:color="auto"/>
            <w:bottom w:val="none" w:sz="0" w:space="0" w:color="auto"/>
            <w:right w:val="none" w:sz="0" w:space="0" w:color="auto"/>
          </w:divBdr>
        </w:div>
        <w:div w:id="227958651">
          <w:marLeft w:val="547"/>
          <w:marRight w:val="0"/>
          <w:marTop w:val="0"/>
          <w:marBottom w:val="0"/>
          <w:divBdr>
            <w:top w:val="none" w:sz="0" w:space="0" w:color="auto"/>
            <w:left w:val="none" w:sz="0" w:space="0" w:color="auto"/>
            <w:bottom w:val="none" w:sz="0" w:space="0" w:color="auto"/>
            <w:right w:val="none" w:sz="0" w:space="0" w:color="auto"/>
          </w:divBdr>
        </w:div>
        <w:div w:id="1903523225">
          <w:marLeft w:val="547"/>
          <w:marRight w:val="0"/>
          <w:marTop w:val="0"/>
          <w:marBottom w:val="0"/>
          <w:divBdr>
            <w:top w:val="none" w:sz="0" w:space="0" w:color="auto"/>
            <w:left w:val="none" w:sz="0" w:space="0" w:color="auto"/>
            <w:bottom w:val="none" w:sz="0" w:space="0" w:color="auto"/>
            <w:right w:val="none" w:sz="0" w:space="0" w:color="auto"/>
          </w:divBdr>
        </w:div>
        <w:div w:id="1828787207">
          <w:marLeft w:val="547"/>
          <w:marRight w:val="0"/>
          <w:marTop w:val="0"/>
          <w:marBottom w:val="0"/>
          <w:divBdr>
            <w:top w:val="none" w:sz="0" w:space="0" w:color="auto"/>
            <w:left w:val="none" w:sz="0" w:space="0" w:color="auto"/>
            <w:bottom w:val="none" w:sz="0" w:space="0" w:color="auto"/>
            <w:right w:val="none" w:sz="0" w:space="0" w:color="auto"/>
          </w:divBdr>
        </w:div>
        <w:div w:id="1945306462">
          <w:marLeft w:val="547"/>
          <w:marRight w:val="0"/>
          <w:marTop w:val="0"/>
          <w:marBottom w:val="0"/>
          <w:divBdr>
            <w:top w:val="none" w:sz="0" w:space="0" w:color="auto"/>
            <w:left w:val="none" w:sz="0" w:space="0" w:color="auto"/>
            <w:bottom w:val="none" w:sz="0" w:space="0" w:color="auto"/>
            <w:right w:val="none" w:sz="0" w:space="0" w:color="auto"/>
          </w:divBdr>
        </w:div>
        <w:div w:id="291327532">
          <w:marLeft w:val="547"/>
          <w:marRight w:val="0"/>
          <w:marTop w:val="0"/>
          <w:marBottom w:val="0"/>
          <w:divBdr>
            <w:top w:val="none" w:sz="0" w:space="0" w:color="auto"/>
            <w:left w:val="none" w:sz="0" w:space="0" w:color="auto"/>
            <w:bottom w:val="none" w:sz="0" w:space="0" w:color="auto"/>
            <w:right w:val="none" w:sz="0" w:space="0" w:color="auto"/>
          </w:divBdr>
        </w:div>
      </w:divsChild>
    </w:div>
    <w:div w:id="117919531">
      <w:bodyDiv w:val="1"/>
      <w:marLeft w:val="0"/>
      <w:marRight w:val="0"/>
      <w:marTop w:val="0"/>
      <w:marBottom w:val="0"/>
      <w:divBdr>
        <w:top w:val="none" w:sz="0" w:space="0" w:color="auto"/>
        <w:left w:val="none" w:sz="0" w:space="0" w:color="auto"/>
        <w:bottom w:val="none" w:sz="0" w:space="0" w:color="auto"/>
        <w:right w:val="none" w:sz="0" w:space="0" w:color="auto"/>
      </w:divBdr>
      <w:divsChild>
        <w:div w:id="425738188">
          <w:marLeft w:val="547"/>
          <w:marRight w:val="0"/>
          <w:marTop w:val="0"/>
          <w:marBottom w:val="0"/>
          <w:divBdr>
            <w:top w:val="none" w:sz="0" w:space="0" w:color="auto"/>
            <w:left w:val="none" w:sz="0" w:space="0" w:color="auto"/>
            <w:bottom w:val="none" w:sz="0" w:space="0" w:color="auto"/>
            <w:right w:val="none" w:sz="0" w:space="0" w:color="auto"/>
          </w:divBdr>
        </w:div>
        <w:div w:id="2080782207">
          <w:marLeft w:val="547"/>
          <w:marRight w:val="0"/>
          <w:marTop w:val="0"/>
          <w:marBottom w:val="0"/>
          <w:divBdr>
            <w:top w:val="none" w:sz="0" w:space="0" w:color="auto"/>
            <w:left w:val="none" w:sz="0" w:space="0" w:color="auto"/>
            <w:bottom w:val="none" w:sz="0" w:space="0" w:color="auto"/>
            <w:right w:val="none" w:sz="0" w:space="0" w:color="auto"/>
          </w:divBdr>
        </w:div>
        <w:div w:id="1328435172">
          <w:marLeft w:val="1166"/>
          <w:marRight w:val="0"/>
          <w:marTop w:val="0"/>
          <w:marBottom w:val="0"/>
          <w:divBdr>
            <w:top w:val="none" w:sz="0" w:space="0" w:color="auto"/>
            <w:left w:val="none" w:sz="0" w:space="0" w:color="auto"/>
            <w:bottom w:val="none" w:sz="0" w:space="0" w:color="auto"/>
            <w:right w:val="none" w:sz="0" w:space="0" w:color="auto"/>
          </w:divBdr>
        </w:div>
        <w:div w:id="1316178271">
          <w:marLeft w:val="1166"/>
          <w:marRight w:val="0"/>
          <w:marTop w:val="0"/>
          <w:marBottom w:val="0"/>
          <w:divBdr>
            <w:top w:val="none" w:sz="0" w:space="0" w:color="auto"/>
            <w:left w:val="none" w:sz="0" w:space="0" w:color="auto"/>
            <w:bottom w:val="none" w:sz="0" w:space="0" w:color="auto"/>
            <w:right w:val="none" w:sz="0" w:space="0" w:color="auto"/>
          </w:divBdr>
        </w:div>
        <w:div w:id="1020202631">
          <w:marLeft w:val="1166"/>
          <w:marRight w:val="0"/>
          <w:marTop w:val="0"/>
          <w:marBottom w:val="0"/>
          <w:divBdr>
            <w:top w:val="none" w:sz="0" w:space="0" w:color="auto"/>
            <w:left w:val="none" w:sz="0" w:space="0" w:color="auto"/>
            <w:bottom w:val="none" w:sz="0" w:space="0" w:color="auto"/>
            <w:right w:val="none" w:sz="0" w:space="0" w:color="auto"/>
          </w:divBdr>
        </w:div>
        <w:div w:id="1423600687">
          <w:marLeft w:val="1166"/>
          <w:marRight w:val="0"/>
          <w:marTop w:val="0"/>
          <w:marBottom w:val="0"/>
          <w:divBdr>
            <w:top w:val="none" w:sz="0" w:space="0" w:color="auto"/>
            <w:left w:val="none" w:sz="0" w:space="0" w:color="auto"/>
            <w:bottom w:val="none" w:sz="0" w:space="0" w:color="auto"/>
            <w:right w:val="none" w:sz="0" w:space="0" w:color="auto"/>
          </w:divBdr>
        </w:div>
        <w:div w:id="2123265167">
          <w:marLeft w:val="547"/>
          <w:marRight w:val="0"/>
          <w:marTop w:val="0"/>
          <w:marBottom w:val="0"/>
          <w:divBdr>
            <w:top w:val="none" w:sz="0" w:space="0" w:color="auto"/>
            <w:left w:val="none" w:sz="0" w:space="0" w:color="auto"/>
            <w:bottom w:val="none" w:sz="0" w:space="0" w:color="auto"/>
            <w:right w:val="none" w:sz="0" w:space="0" w:color="auto"/>
          </w:divBdr>
        </w:div>
        <w:div w:id="899169612">
          <w:marLeft w:val="547"/>
          <w:marRight w:val="0"/>
          <w:marTop w:val="0"/>
          <w:marBottom w:val="0"/>
          <w:divBdr>
            <w:top w:val="none" w:sz="0" w:space="0" w:color="auto"/>
            <w:left w:val="none" w:sz="0" w:space="0" w:color="auto"/>
            <w:bottom w:val="none" w:sz="0" w:space="0" w:color="auto"/>
            <w:right w:val="none" w:sz="0" w:space="0" w:color="auto"/>
          </w:divBdr>
        </w:div>
        <w:div w:id="75782788">
          <w:marLeft w:val="547"/>
          <w:marRight w:val="0"/>
          <w:marTop w:val="0"/>
          <w:marBottom w:val="0"/>
          <w:divBdr>
            <w:top w:val="none" w:sz="0" w:space="0" w:color="auto"/>
            <w:left w:val="none" w:sz="0" w:space="0" w:color="auto"/>
            <w:bottom w:val="none" w:sz="0" w:space="0" w:color="auto"/>
            <w:right w:val="none" w:sz="0" w:space="0" w:color="auto"/>
          </w:divBdr>
        </w:div>
        <w:div w:id="1886212936">
          <w:marLeft w:val="547"/>
          <w:marRight w:val="0"/>
          <w:marTop w:val="0"/>
          <w:marBottom w:val="0"/>
          <w:divBdr>
            <w:top w:val="none" w:sz="0" w:space="0" w:color="auto"/>
            <w:left w:val="none" w:sz="0" w:space="0" w:color="auto"/>
            <w:bottom w:val="none" w:sz="0" w:space="0" w:color="auto"/>
            <w:right w:val="none" w:sz="0" w:space="0" w:color="auto"/>
          </w:divBdr>
        </w:div>
      </w:divsChild>
    </w:div>
    <w:div w:id="939603432">
      <w:bodyDiv w:val="1"/>
      <w:marLeft w:val="0"/>
      <w:marRight w:val="0"/>
      <w:marTop w:val="0"/>
      <w:marBottom w:val="0"/>
      <w:divBdr>
        <w:top w:val="none" w:sz="0" w:space="0" w:color="auto"/>
        <w:left w:val="none" w:sz="0" w:space="0" w:color="auto"/>
        <w:bottom w:val="none" w:sz="0" w:space="0" w:color="auto"/>
        <w:right w:val="none" w:sz="0" w:space="0" w:color="auto"/>
      </w:divBdr>
      <w:divsChild>
        <w:div w:id="718094828">
          <w:marLeft w:val="547"/>
          <w:marRight w:val="0"/>
          <w:marTop w:val="0"/>
          <w:marBottom w:val="0"/>
          <w:divBdr>
            <w:top w:val="none" w:sz="0" w:space="0" w:color="auto"/>
            <w:left w:val="none" w:sz="0" w:space="0" w:color="auto"/>
            <w:bottom w:val="none" w:sz="0" w:space="0" w:color="auto"/>
            <w:right w:val="none" w:sz="0" w:space="0" w:color="auto"/>
          </w:divBdr>
        </w:div>
        <w:div w:id="65804473">
          <w:marLeft w:val="547"/>
          <w:marRight w:val="0"/>
          <w:marTop w:val="0"/>
          <w:marBottom w:val="0"/>
          <w:divBdr>
            <w:top w:val="none" w:sz="0" w:space="0" w:color="auto"/>
            <w:left w:val="none" w:sz="0" w:space="0" w:color="auto"/>
            <w:bottom w:val="none" w:sz="0" w:space="0" w:color="auto"/>
            <w:right w:val="none" w:sz="0" w:space="0" w:color="auto"/>
          </w:divBdr>
        </w:div>
        <w:div w:id="2068608474">
          <w:marLeft w:val="547"/>
          <w:marRight w:val="0"/>
          <w:marTop w:val="0"/>
          <w:marBottom w:val="0"/>
          <w:divBdr>
            <w:top w:val="none" w:sz="0" w:space="0" w:color="auto"/>
            <w:left w:val="none" w:sz="0" w:space="0" w:color="auto"/>
            <w:bottom w:val="none" w:sz="0" w:space="0" w:color="auto"/>
            <w:right w:val="none" w:sz="0" w:space="0" w:color="auto"/>
          </w:divBdr>
        </w:div>
        <w:div w:id="772478606">
          <w:marLeft w:val="547"/>
          <w:marRight w:val="0"/>
          <w:marTop w:val="0"/>
          <w:marBottom w:val="0"/>
          <w:divBdr>
            <w:top w:val="none" w:sz="0" w:space="0" w:color="auto"/>
            <w:left w:val="none" w:sz="0" w:space="0" w:color="auto"/>
            <w:bottom w:val="none" w:sz="0" w:space="0" w:color="auto"/>
            <w:right w:val="none" w:sz="0" w:space="0" w:color="auto"/>
          </w:divBdr>
        </w:div>
        <w:div w:id="1017580311">
          <w:marLeft w:val="547"/>
          <w:marRight w:val="0"/>
          <w:marTop w:val="0"/>
          <w:marBottom w:val="0"/>
          <w:divBdr>
            <w:top w:val="none" w:sz="0" w:space="0" w:color="auto"/>
            <w:left w:val="none" w:sz="0" w:space="0" w:color="auto"/>
            <w:bottom w:val="none" w:sz="0" w:space="0" w:color="auto"/>
            <w:right w:val="none" w:sz="0" w:space="0" w:color="auto"/>
          </w:divBdr>
        </w:div>
        <w:div w:id="607199894">
          <w:marLeft w:val="547"/>
          <w:marRight w:val="0"/>
          <w:marTop w:val="0"/>
          <w:marBottom w:val="0"/>
          <w:divBdr>
            <w:top w:val="none" w:sz="0" w:space="0" w:color="auto"/>
            <w:left w:val="none" w:sz="0" w:space="0" w:color="auto"/>
            <w:bottom w:val="none" w:sz="0" w:space="0" w:color="auto"/>
            <w:right w:val="none" w:sz="0" w:space="0" w:color="auto"/>
          </w:divBdr>
        </w:div>
        <w:div w:id="1260606274">
          <w:marLeft w:val="547"/>
          <w:marRight w:val="0"/>
          <w:marTop w:val="0"/>
          <w:marBottom w:val="0"/>
          <w:divBdr>
            <w:top w:val="none" w:sz="0" w:space="0" w:color="auto"/>
            <w:left w:val="none" w:sz="0" w:space="0" w:color="auto"/>
            <w:bottom w:val="none" w:sz="0" w:space="0" w:color="auto"/>
            <w:right w:val="none" w:sz="0" w:space="0" w:color="auto"/>
          </w:divBdr>
        </w:div>
        <w:div w:id="888490610">
          <w:marLeft w:val="547"/>
          <w:marRight w:val="0"/>
          <w:marTop w:val="0"/>
          <w:marBottom w:val="0"/>
          <w:divBdr>
            <w:top w:val="none" w:sz="0" w:space="0" w:color="auto"/>
            <w:left w:val="none" w:sz="0" w:space="0" w:color="auto"/>
            <w:bottom w:val="none" w:sz="0" w:space="0" w:color="auto"/>
            <w:right w:val="none" w:sz="0" w:space="0" w:color="auto"/>
          </w:divBdr>
        </w:div>
        <w:div w:id="231545988">
          <w:marLeft w:val="547"/>
          <w:marRight w:val="0"/>
          <w:marTop w:val="0"/>
          <w:marBottom w:val="0"/>
          <w:divBdr>
            <w:top w:val="none" w:sz="0" w:space="0" w:color="auto"/>
            <w:left w:val="none" w:sz="0" w:space="0" w:color="auto"/>
            <w:bottom w:val="none" w:sz="0" w:space="0" w:color="auto"/>
            <w:right w:val="none" w:sz="0" w:space="0" w:color="auto"/>
          </w:divBdr>
        </w:div>
        <w:div w:id="79390885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PD8-NationalPreparedness@fema.dhs.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janca\Documents\0%20SNRA\0%20SNRA%20II\SNRA%20transition\TEMPLATE_NIC_Word-Doc-General_20130201.dotx" TargetMode="External"/></Relationships>
</file>

<file path=word/theme/theme1.xml><?xml version="1.0" encoding="utf-8"?>
<a:theme xmlns:a="http://schemas.openxmlformats.org/drawingml/2006/main" name="ICE 831">
  <a:themeElements>
    <a:clrScheme name="DHS Colors">
      <a:dk1>
        <a:sysClr val="windowText" lastClr="000000"/>
      </a:dk1>
      <a:lt1>
        <a:sysClr val="window" lastClr="FFFFFF"/>
      </a:lt1>
      <a:dk2>
        <a:srgbClr val="002F80"/>
      </a:dk2>
      <a:lt2>
        <a:srgbClr val="B0B1B3"/>
      </a:lt2>
      <a:accent1>
        <a:srgbClr val="002F80"/>
      </a:accent1>
      <a:accent2>
        <a:srgbClr val="B0B1B3"/>
      </a:accent2>
      <a:accent3>
        <a:srgbClr val="363636"/>
      </a:accent3>
      <a:accent4>
        <a:srgbClr val="A50021"/>
      </a:accent4>
      <a:accent5>
        <a:srgbClr val="598600"/>
      </a:accent5>
      <a:accent6>
        <a:srgbClr val="0070B2"/>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spDef>
    <a:lnDef>
      <a:spPr bwMode="auto">
        <a:xfrm>
          <a:off x="0" y="0"/>
          <a:ext cx="1" cy="1"/>
        </a:xfrm>
        <a:custGeom>
          <a:avLst/>
          <a:gdLst/>
          <a:ahLst/>
          <a:cxnLst/>
          <a:rect l="0" t="0" r="0" b="0"/>
          <a:pathLst/>
        </a:custGeom>
        <a:solidFill>
          <a:srgbClr val="82BF69"/>
        </a:solidFill>
        <a:ln w="9525" cap="flat" cmpd="sng" algn="ctr">
          <a:solidFill>
            <a:srgbClr val="333333"/>
          </a:solidFill>
          <a:prstDash val="solid"/>
          <a:round/>
          <a:headEnd type="none" w="med" len="med"/>
          <a:tailEnd type="none" w="med" len="med"/>
        </a:ln>
        <a:effectLst/>
      </a:spPr>
      <a:bodyPr vert="horz" wrap="none" lIns="98734" tIns="49367" rIns="98734" bIns="49367" numCol="1" anchor="ctr" anchorCtr="0" compatLnSpc="1">
        <a:prstTxWarp prst="textNoShape">
          <a:avLst/>
        </a:prstTxWarp>
      </a:bodyPr>
      <a:lstStyle>
        <a:defPPr marL="0" marR="0" indent="0" algn="ctr" defTabSz="987425" rtl="0" eaLnBrk="1" fontAlgn="base" latinLnBrk="0" hangingPunct="1">
          <a:lnSpc>
            <a:spcPct val="100000"/>
          </a:lnSpc>
          <a:spcBef>
            <a:spcPct val="0"/>
          </a:spcBef>
          <a:spcAft>
            <a:spcPct val="0"/>
          </a:spcAft>
          <a:buClrTx/>
          <a:buSzTx/>
          <a:buFontTx/>
          <a:buNone/>
          <a:tabLst/>
          <a:defRPr kumimoji="0" lang="en-US" sz="1400" b="1" i="0" u="none" strike="noStrike" cap="none" normalizeH="0" baseline="0">
            <a:ln>
              <a:noFill/>
            </a:ln>
            <a:solidFill>
              <a:srgbClr val="B2B2B2"/>
            </a:solidFill>
            <a:effectLst/>
            <a:latin typeface="Arial" pitchFamily="-111" charset="0"/>
          </a:defRPr>
        </a:defPPr>
      </a:lstStyle>
    </a:lnDef>
    <a:txDef>
      <a:spPr>
        <a:solidFill>
          <a:schemeClr val="bg2"/>
        </a:solidFill>
        <a:ln w="38100">
          <a:solidFill>
            <a:schemeClr val="tx2"/>
          </a:solidFill>
          <a:miter lim="800000"/>
        </a:ln>
        <a:effectLst/>
      </a:spPr>
      <a:bodyPr rot="0" spcFirstLastPara="0" vertOverflow="overflow" horzOverflow="overflow" vert="horz" wrap="square" lIns="91440" tIns="91440" rIns="91440" bIns="91440" numCol="1" spcCol="0" rtlCol="0" fromWordArt="0" anchor="t" anchorCtr="0" forceAA="0" compatLnSpc="1">
        <a:prstTxWarp prst="textNoShape">
          <a:avLst/>
        </a:prstTxWarp>
        <a:noAutofit/>
      </a:bodyPr>
      <a:lstStyle/>
    </a:txDef>
  </a:objectDefaults>
  <a:extraClrSchemeLst>
    <a:extraClrScheme>
      <a:clrScheme name="OCIO Master PPT 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OCIO Master PPT 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OCIO Master PPT 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OCIO Master PPT 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OCIO Master PPT 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OCIO Master PPT 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OCIO Master PPT 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OCIO Master PPT 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OCIO Master PPT 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OCIO Master PPT 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OCIO Master PPT 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OCIO Master PPT 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FE62D-D1D2-4F29-B520-25B2E03E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TEMPLATE_NIC_Word-Doc-General_20130201.dotx</Template>
  <TotalTime>1</TotalTime>
  <Pages>6</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Booz Allen Hamilton</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dc:creator>
  <cp:revision>3</cp:revision>
  <cp:lastPrinted>2015-02-06T19:00:00Z</cp:lastPrinted>
  <dcterms:created xsi:type="dcterms:W3CDTF">2015-02-12T17:15:00Z</dcterms:created>
  <dcterms:modified xsi:type="dcterms:W3CDTF">2015-02-12T17:15:00Z</dcterms:modified>
</cp:coreProperties>
</file>